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B0BD1">
      <w:pPr>
        <w:jc w:val="center"/>
      </w:pPr>
      <w:r>
        <w:rPr>
          <w:rFonts w:ascii="黑体" w:hAnsi="黑体" w:eastAsia="黑体"/>
          <w:b/>
          <w:sz w:val="36"/>
        </w:rPr>
        <w:t>关于金融产品和服务所执行标准情况的声明</w:t>
      </w:r>
    </w:p>
    <w:p w14:paraId="04C96B58">
      <w:pPr>
        <w:spacing w:line="360" w:lineRule="auto"/>
        <w:ind w:firstLine="420"/>
      </w:pPr>
      <w:r>
        <w:rPr>
          <w:rFonts w:ascii="宋体" w:hAnsi="宋体" w:eastAsia="宋体"/>
          <w:sz w:val="24"/>
        </w:rPr>
        <w:t>根据《中华人民共和国标准化法》有关规定，现将江苏灌南农村商业银行股份有限公司提供的金融产品和服务所执行的国家标准、行业标准、团体标准、企业标准情况公开如下。江苏灌南农村商业银行股份有限公司承诺相关金融产品和服务符合公开标准规定的各项技术要求，对声明公开信息的真实性、准确性、合法性负责。本次声明公开的信息统计截至2024年10月31日。</w:t>
      </w:r>
    </w:p>
    <w:p w14:paraId="0B769B66">
      <w:pPr>
        <w:spacing w:line="360" w:lineRule="auto"/>
      </w:pPr>
      <w:r>
        <w:rPr>
          <w:rFonts w:ascii="宋体" w:hAnsi="宋体" w:eastAsia="宋体"/>
          <w:sz w:val="24"/>
        </w:rPr>
        <w:t>联系方式：姓名 周石友  邮箱</w:t>
      </w:r>
      <w:bookmarkStart w:id="0" w:name="_GoBack"/>
      <w:bookmarkEnd w:id="0"/>
      <w:r>
        <w:rPr>
          <w:rFonts w:ascii="宋体" w:hAnsi="宋体" w:eastAsia="宋体"/>
          <w:sz w:val="24"/>
        </w:rPr>
        <w:t xml:space="preserve"> 66843927@qq.com</w:t>
      </w:r>
    </w:p>
    <w:p w14:paraId="67D5CF2C"/>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350"/>
        <w:gridCol w:w="2221"/>
        <w:gridCol w:w="3116"/>
        <w:gridCol w:w="1205"/>
        <w:gridCol w:w="2550"/>
        <w:gridCol w:w="523"/>
      </w:tblGrid>
      <w:tr w14:paraId="1608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shd w:val="clear" w:color="auto" w:fill="D9E2F3"/>
            <w:vAlign w:val="center"/>
          </w:tcPr>
          <w:p w14:paraId="29B0C710">
            <w:pPr>
              <w:spacing w:after="0" w:line="240" w:lineRule="auto"/>
              <w:jc w:val="center"/>
            </w:pPr>
            <w:r>
              <w:rPr>
                <w:rFonts w:ascii="宋体" w:hAnsi="宋体" w:eastAsia="宋体"/>
                <w:b/>
                <w:sz w:val="21"/>
              </w:rPr>
              <w:t>序号</w:t>
            </w:r>
          </w:p>
        </w:tc>
        <w:tc>
          <w:tcPr>
            <w:tcW w:w="1350" w:type="dxa"/>
            <w:shd w:val="clear" w:color="auto" w:fill="D9E2F3"/>
            <w:vAlign w:val="center"/>
          </w:tcPr>
          <w:p w14:paraId="5CCA1F18">
            <w:pPr>
              <w:spacing w:after="0" w:line="240" w:lineRule="auto"/>
              <w:jc w:val="center"/>
            </w:pPr>
            <w:r>
              <w:rPr>
                <w:rFonts w:ascii="宋体" w:hAnsi="宋体" w:eastAsia="宋体"/>
                <w:b/>
                <w:sz w:val="21"/>
              </w:rPr>
              <w:t>产品或服务名称</w:t>
            </w:r>
          </w:p>
        </w:tc>
        <w:tc>
          <w:tcPr>
            <w:tcW w:w="2221" w:type="dxa"/>
            <w:shd w:val="clear" w:color="auto" w:fill="D9E2F3"/>
            <w:vAlign w:val="center"/>
          </w:tcPr>
          <w:p w14:paraId="363161AA">
            <w:pPr>
              <w:spacing w:after="0" w:line="240" w:lineRule="auto"/>
              <w:jc w:val="center"/>
            </w:pPr>
            <w:r>
              <w:rPr>
                <w:rFonts w:ascii="宋体" w:hAnsi="宋体" w:eastAsia="宋体"/>
                <w:b/>
                <w:sz w:val="21"/>
              </w:rPr>
              <w:t>所执行标准编号</w:t>
            </w:r>
          </w:p>
        </w:tc>
        <w:tc>
          <w:tcPr>
            <w:tcW w:w="3116" w:type="dxa"/>
            <w:shd w:val="clear" w:color="auto" w:fill="D9E2F3"/>
            <w:vAlign w:val="center"/>
          </w:tcPr>
          <w:p w14:paraId="5AA072A2">
            <w:pPr>
              <w:spacing w:after="0" w:line="240" w:lineRule="auto"/>
              <w:jc w:val="center"/>
            </w:pPr>
            <w:r>
              <w:rPr>
                <w:rFonts w:ascii="宋体" w:hAnsi="宋体" w:eastAsia="宋体"/>
                <w:b/>
                <w:sz w:val="21"/>
              </w:rPr>
              <w:t>所执行标准名称</w:t>
            </w:r>
          </w:p>
        </w:tc>
        <w:tc>
          <w:tcPr>
            <w:tcW w:w="1205" w:type="dxa"/>
            <w:shd w:val="clear" w:color="auto" w:fill="D9E2F3"/>
            <w:vAlign w:val="center"/>
          </w:tcPr>
          <w:p w14:paraId="18120F80">
            <w:pPr>
              <w:spacing w:after="0" w:line="240" w:lineRule="auto"/>
              <w:jc w:val="center"/>
            </w:pPr>
            <w:r>
              <w:rPr>
                <w:rFonts w:ascii="宋体" w:hAnsi="宋体" w:eastAsia="宋体"/>
                <w:b/>
                <w:sz w:val="21"/>
              </w:rPr>
              <w:t>是否达标</w:t>
            </w:r>
          </w:p>
        </w:tc>
        <w:tc>
          <w:tcPr>
            <w:tcW w:w="2550" w:type="dxa"/>
            <w:shd w:val="clear" w:color="auto" w:fill="D9E2F3"/>
            <w:vAlign w:val="center"/>
          </w:tcPr>
          <w:p w14:paraId="39387FBE">
            <w:pPr>
              <w:spacing w:after="0" w:line="240" w:lineRule="auto"/>
              <w:jc w:val="center"/>
            </w:pPr>
            <w:r>
              <w:rPr>
                <w:rFonts w:ascii="宋体" w:hAnsi="宋体" w:eastAsia="宋体"/>
                <w:b/>
                <w:sz w:val="21"/>
              </w:rPr>
              <w:t>功能指标和性能指标</w:t>
            </w:r>
          </w:p>
        </w:tc>
        <w:tc>
          <w:tcPr>
            <w:tcW w:w="523" w:type="dxa"/>
            <w:shd w:val="clear" w:color="auto" w:fill="D9E2F3"/>
            <w:vAlign w:val="center"/>
          </w:tcPr>
          <w:p w14:paraId="568015D5">
            <w:pPr>
              <w:spacing w:after="0" w:line="240" w:lineRule="auto"/>
              <w:jc w:val="center"/>
            </w:pPr>
            <w:r>
              <w:rPr>
                <w:rFonts w:ascii="宋体" w:hAnsi="宋体" w:eastAsia="宋体"/>
                <w:b/>
                <w:sz w:val="21"/>
              </w:rPr>
              <w:t>备注</w:t>
            </w:r>
          </w:p>
        </w:tc>
      </w:tr>
      <w:tr w14:paraId="683A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restart"/>
            <w:vAlign w:val="center"/>
          </w:tcPr>
          <w:p w14:paraId="08D9B7BB">
            <w:pPr>
              <w:spacing w:after="0" w:line="240" w:lineRule="auto"/>
              <w:jc w:val="center"/>
            </w:pPr>
            <w:r>
              <w:rPr>
                <w:rFonts w:ascii="宋体" w:hAnsi="宋体" w:eastAsia="宋体"/>
                <w:sz w:val="18"/>
              </w:rPr>
              <w:t>1</w:t>
            </w:r>
          </w:p>
          <w:p w14:paraId="2AF3100D">
            <w:pPr>
              <w:spacing w:after="0" w:line="240" w:lineRule="auto"/>
              <w:jc w:val="center"/>
            </w:pPr>
          </w:p>
          <w:p w14:paraId="392CE541">
            <w:pPr>
              <w:spacing w:after="0" w:line="240" w:lineRule="auto"/>
              <w:jc w:val="center"/>
            </w:pPr>
          </w:p>
          <w:p w14:paraId="337CC10D">
            <w:pPr>
              <w:spacing w:after="0" w:line="240" w:lineRule="auto"/>
              <w:jc w:val="center"/>
            </w:pPr>
          </w:p>
          <w:p w14:paraId="4E4B3954">
            <w:pPr>
              <w:spacing w:after="0" w:line="240" w:lineRule="auto"/>
              <w:jc w:val="center"/>
            </w:pPr>
          </w:p>
          <w:p w14:paraId="06544F8C">
            <w:pPr>
              <w:spacing w:after="0" w:line="240" w:lineRule="auto"/>
              <w:jc w:val="center"/>
            </w:pPr>
          </w:p>
          <w:p w14:paraId="07B34F0A">
            <w:pPr>
              <w:spacing w:after="0" w:line="240" w:lineRule="auto"/>
              <w:jc w:val="center"/>
            </w:pPr>
          </w:p>
        </w:tc>
        <w:tc>
          <w:tcPr>
            <w:tcW w:w="1350" w:type="dxa"/>
            <w:vMerge w:val="restart"/>
            <w:vAlign w:val="center"/>
          </w:tcPr>
          <w:p w14:paraId="6B36AB81">
            <w:pPr>
              <w:spacing w:after="0" w:line="240" w:lineRule="auto"/>
              <w:jc w:val="left"/>
            </w:pPr>
            <w:r>
              <w:rPr>
                <w:rFonts w:ascii="宋体" w:hAnsi="宋体" w:eastAsia="宋体"/>
                <w:sz w:val="18"/>
              </w:rPr>
              <w:t>营业网点服务</w:t>
            </w:r>
          </w:p>
          <w:p w14:paraId="3E284570">
            <w:pPr>
              <w:spacing w:after="0" w:line="240" w:lineRule="auto"/>
              <w:jc w:val="left"/>
            </w:pPr>
          </w:p>
          <w:p w14:paraId="116D9253">
            <w:pPr>
              <w:spacing w:after="0" w:line="240" w:lineRule="auto"/>
              <w:jc w:val="left"/>
            </w:pPr>
          </w:p>
          <w:p w14:paraId="0B9660D8">
            <w:pPr>
              <w:spacing w:after="0" w:line="240" w:lineRule="auto"/>
              <w:jc w:val="left"/>
            </w:pPr>
          </w:p>
          <w:p w14:paraId="52ACC696">
            <w:pPr>
              <w:spacing w:after="0" w:line="240" w:lineRule="auto"/>
              <w:jc w:val="left"/>
            </w:pPr>
          </w:p>
          <w:p w14:paraId="022A601C">
            <w:pPr>
              <w:spacing w:after="0" w:line="240" w:lineRule="auto"/>
              <w:jc w:val="left"/>
            </w:pPr>
          </w:p>
          <w:p w14:paraId="4A3E3DCC">
            <w:pPr>
              <w:spacing w:after="0" w:line="240" w:lineRule="auto"/>
              <w:jc w:val="left"/>
            </w:pPr>
          </w:p>
        </w:tc>
        <w:tc>
          <w:tcPr>
            <w:tcW w:w="2221" w:type="dxa"/>
            <w:vAlign w:val="center"/>
          </w:tcPr>
          <w:p w14:paraId="426B6F4E">
            <w:pPr>
              <w:tabs>
                <w:tab w:val="left" w:pos="630"/>
              </w:tabs>
              <w:spacing w:after="0" w:line="240" w:lineRule="auto"/>
              <w:jc w:val="left"/>
            </w:pPr>
            <w:r>
              <w:rPr>
                <w:rFonts w:ascii="宋体" w:hAnsi="宋体" w:eastAsia="宋体"/>
                <w:sz w:val="18"/>
              </w:rPr>
              <w:t>Q_320724GNNSH 001-2024</w:t>
            </w:r>
          </w:p>
        </w:tc>
        <w:tc>
          <w:tcPr>
            <w:tcW w:w="3116" w:type="dxa"/>
            <w:vAlign w:val="center"/>
          </w:tcPr>
          <w:p w14:paraId="15175C6C">
            <w:pPr>
              <w:spacing w:after="0" w:line="240" w:lineRule="auto"/>
              <w:jc w:val="left"/>
            </w:pPr>
            <w:r>
              <w:rPr>
                <w:rFonts w:ascii="宋体" w:hAnsi="宋体" w:eastAsia="宋体"/>
                <w:sz w:val="18"/>
              </w:rPr>
              <w:t>江苏灌南农村商业银行营业网点服务基本要求</w:t>
            </w:r>
          </w:p>
        </w:tc>
        <w:tc>
          <w:tcPr>
            <w:tcW w:w="1205" w:type="dxa"/>
            <w:vAlign w:val="center"/>
          </w:tcPr>
          <w:p w14:paraId="1D3351D2">
            <w:pPr>
              <w:spacing w:after="0" w:line="240" w:lineRule="auto"/>
              <w:jc w:val="center"/>
            </w:pPr>
            <w:r>
              <w:rPr>
                <w:rFonts w:ascii="宋体" w:hAnsi="宋体" w:eastAsia="宋体"/>
                <w:sz w:val="18"/>
              </w:rPr>
              <w:t>是</w:t>
            </w:r>
          </w:p>
        </w:tc>
        <w:tc>
          <w:tcPr>
            <w:tcW w:w="2550" w:type="dxa"/>
            <w:vAlign w:val="center"/>
          </w:tcPr>
          <w:p w14:paraId="6A0FE260">
            <w:pPr>
              <w:spacing w:after="0" w:line="240" w:lineRule="auto"/>
              <w:jc w:val="left"/>
            </w:pPr>
            <w:r>
              <w:rPr>
                <w:rFonts w:ascii="宋体" w:hAnsi="宋体" w:eastAsia="宋体"/>
                <w:sz w:val="18"/>
              </w:rPr>
              <w:t>https://www.qybz.org.cn/user/detail/5a576d73fa9f517494effce8b901952a83dfb64036a8a2d739d0146fc1e52f3a1667e8270e92630f8ddeed1ee4fdb693</w:t>
            </w:r>
          </w:p>
        </w:tc>
        <w:tc>
          <w:tcPr>
            <w:tcW w:w="523" w:type="dxa"/>
            <w:vAlign w:val="center"/>
          </w:tcPr>
          <w:p w14:paraId="02E877D1">
            <w:pPr>
              <w:spacing w:after="0" w:line="240" w:lineRule="auto"/>
              <w:jc w:val="left"/>
            </w:pPr>
          </w:p>
        </w:tc>
      </w:tr>
      <w:tr w14:paraId="2D5C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186DF08B">
            <w:pPr>
              <w:spacing w:after="0" w:line="240" w:lineRule="auto"/>
            </w:pPr>
          </w:p>
        </w:tc>
        <w:tc>
          <w:tcPr>
            <w:tcW w:w="1350" w:type="dxa"/>
            <w:vMerge w:val="continue"/>
            <w:vAlign w:val="center"/>
          </w:tcPr>
          <w:p w14:paraId="294A64E6">
            <w:pPr>
              <w:spacing w:after="0" w:line="240" w:lineRule="auto"/>
            </w:pPr>
          </w:p>
        </w:tc>
        <w:tc>
          <w:tcPr>
            <w:tcW w:w="2221" w:type="dxa"/>
            <w:vAlign w:val="center"/>
          </w:tcPr>
          <w:p w14:paraId="116DCDCD">
            <w:pPr>
              <w:spacing w:after="0" w:line="240" w:lineRule="auto"/>
              <w:jc w:val="left"/>
            </w:pPr>
            <w:r>
              <w:rPr>
                <w:rFonts w:ascii="宋体" w:hAnsi="宋体" w:eastAsia="宋体"/>
                <w:sz w:val="18"/>
              </w:rPr>
              <w:t>GB/T 32320—2015</w:t>
            </w:r>
          </w:p>
        </w:tc>
        <w:tc>
          <w:tcPr>
            <w:tcW w:w="3116" w:type="dxa"/>
            <w:vAlign w:val="center"/>
          </w:tcPr>
          <w:p w14:paraId="0A810A4F">
            <w:pPr>
              <w:spacing w:after="0" w:line="240" w:lineRule="auto"/>
              <w:jc w:val="left"/>
            </w:pPr>
            <w:r>
              <w:rPr>
                <w:rFonts w:ascii="宋体" w:hAnsi="宋体" w:eastAsia="宋体"/>
                <w:sz w:val="18"/>
              </w:rPr>
              <w:t>银行营业网点服务基本要求</w:t>
            </w:r>
          </w:p>
        </w:tc>
        <w:tc>
          <w:tcPr>
            <w:tcW w:w="1205" w:type="dxa"/>
            <w:vAlign w:val="center"/>
          </w:tcPr>
          <w:p w14:paraId="6167229F">
            <w:pPr>
              <w:spacing w:after="0" w:line="240" w:lineRule="auto"/>
              <w:jc w:val="center"/>
            </w:pPr>
            <w:r>
              <w:rPr>
                <w:rFonts w:ascii="宋体" w:hAnsi="宋体" w:eastAsia="宋体"/>
                <w:sz w:val="18"/>
              </w:rPr>
              <w:t>是</w:t>
            </w:r>
          </w:p>
        </w:tc>
        <w:tc>
          <w:tcPr>
            <w:tcW w:w="2550" w:type="dxa"/>
            <w:vAlign w:val="center"/>
          </w:tcPr>
          <w:p w14:paraId="404A85B5">
            <w:pPr>
              <w:spacing w:after="0" w:line="240" w:lineRule="auto"/>
            </w:pPr>
          </w:p>
        </w:tc>
        <w:tc>
          <w:tcPr>
            <w:tcW w:w="523" w:type="dxa"/>
            <w:vAlign w:val="center"/>
          </w:tcPr>
          <w:p w14:paraId="30C4D503">
            <w:pPr>
              <w:spacing w:after="0" w:line="240" w:lineRule="auto"/>
              <w:jc w:val="left"/>
            </w:pPr>
            <w:r>
              <w:rPr>
                <w:rFonts w:ascii="宋体" w:hAnsi="宋体" w:eastAsia="宋体"/>
                <w:sz w:val="18"/>
              </w:rPr>
              <w:t xml:space="preserve"> </w:t>
            </w:r>
          </w:p>
        </w:tc>
      </w:tr>
      <w:tr w14:paraId="6E9B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3C144D16">
            <w:pPr>
              <w:spacing w:after="0" w:line="240" w:lineRule="auto"/>
            </w:pPr>
          </w:p>
        </w:tc>
        <w:tc>
          <w:tcPr>
            <w:tcW w:w="1350" w:type="dxa"/>
            <w:vMerge w:val="continue"/>
            <w:vAlign w:val="center"/>
          </w:tcPr>
          <w:p w14:paraId="602F616F">
            <w:pPr>
              <w:spacing w:after="0" w:line="240" w:lineRule="auto"/>
            </w:pPr>
          </w:p>
        </w:tc>
        <w:tc>
          <w:tcPr>
            <w:tcW w:w="2221" w:type="dxa"/>
            <w:vAlign w:val="center"/>
          </w:tcPr>
          <w:p w14:paraId="22947834">
            <w:pPr>
              <w:spacing w:after="0" w:line="240" w:lineRule="auto"/>
              <w:jc w:val="left"/>
            </w:pPr>
            <w:r>
              <w:rPr>
                <w:rFonts w:ascii="宋体" w:hAnsi="宋体" w:eastAsia="宋体"/>
                <w:sz w:val="18"/>
              </w:rPr>
              <w:t>GB/T 41218—2021</w:t>
            </w:r>
          </w:p>
        </w:tc>
        <w:tc>
          <w:tcPr>
            <w:tcW w:w="3116" w:type="dxa"/>
            <w:vAlign w:val="center"/>
          </w:tcPr>
          <w:p w14:paraId="4A4E5C64">
            <w:pPr>
              <w:spacing w:after="0" w:line="240" w:lineRule="auto"/>
              <w:jc w:val="left"/>
            </w:pPr>
            <w:r>
              <w:rPr>
                <w:rFonts w:ascii="宋体" w:hAnsi="宋体" w:eastAsia="宋体"/>
                <w:sz w:val="18"/>
              </w:rPr>
              <w:t>银行营业网点无障碍环境建设规范</w:t>
            </w:r>
          </w:p>
        </w:tc>
        <w:tc>
          <w:tcPr>
            <w:tcW w:w="1205" w:type="dxa"/>
            <w:vAlign w:val="center"/>
          </w:tcPr>
          <w:p w14:paraId="2CF8A45C">
            <w:pPr>
              <w:spacing w:after="0" w:line="240" w:lineRule="auto"/>
              <w:jc w:val="center"/>
            </w:pPr>
            <w:r>
              <w:rPr>
                <w:rFonts w:ascii="宋体" w:hAnsi="宋体" w:eastAsia="宋体"/>
                <w:sz w:val="18"/>
              </w:rPr>
              <w:t>是</w:t>
            </w:r>
          </w:p>
        </w:tc>
        <w:tc>
          <w:tcPr>
            <w:tcW w:w="2550" w:type="dxa"/>
            <w:vAlign w:val="center"/>
          </w:tcPr>
          <w:p w14:paraId="5E66C5E3">
            <w:pPr>
              <w:spacing w:after="0" w:line="240" w:lineRule="auto"/>
            </w:pPr>
          </w:p>
        </w:tc>
        <w:tc>
          <w:tcPr>
            <w:tcW w:w="523" w:type="dxa"/>
            <w:vAlign w:val="center"/>
          </w:tcPr>
          <w:p w14:paraId="5F158638">
            <w:pPr>
              <w:spacing w:after="0" w:line="240" w:lineRule="auto"/>
              <w:jc w:val="left"/>
            </w:pPr>
            <w:r>
              <w:rPr>
                <w:rFonts w:ascii="宋体" w:hAnsi="宋体" w:eastAsia="宋体"/>
                <w:sz w:val="18"/>
              </w:rPr>
              <w:t xml:space="preserve"> </w:t>
            </w:r>
          </w:p>
        </w:tc>
      </w:tr>
      <w:tr w14:paraId="5A8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60655DB4">
            <w:pPr>
              <w:spacing w:after="0" w:line="240" w:lineRule="auto"/>
            </w:pPr>
          </w:p>
        </w:tc>
        <w:tc>
          <w:tcPr>
            <w:tcW w:w="1350" w:type="dxa"/>
            <w:vMerge w:val="continue"/>
            <w:vAlign w:val="center"/>
          </w:tcPr>
          <w:p w14:paraId="4F7395AF">
            <w:pPr>
              <w:spacing w:after="0" w:line="240" w:lineRule="auto"/>
            </w:pPr>
          </w:p>
        </w:tc>
        <w:tc>
          <w:tcPr>
            <w:tcW w:w="2221" w:type="dxa"/>
            <w:vAlign w:val="center"/>
          </w:tcPr>
          <w:p w14:paraId="273E8A2E">
            <w:pPr>
              <w:spacing w:after="0" w:line="240" w:lineRule="auto"/>
              <w:jc w:val="left"/>
            </w:pPr>
            <w:r>
              <w:rPr>
                <w:rFonts w:ascii="宋体" w:hAnsi="宋体" w:eastAsia="宋体"/>
                <w:sz w:val="18"/>
              </w:rPr>
              <w:t>GB/T 41461—2022</w:t>
            </w:r>
          </w:p>
        </w:tc>
        <w:tc>
          <w:tcPr>
            <w:tcW w:w="3116" w:type="dxa"/>
            <w:vAlign w:val="center"/>
          </w:tcPr>
          <w:p w14:paraId="298623DD">
            <w:pPr>
              <w:spacing w:after="0" w:line="240" w:lineRule="auto"/>
              <w:jc w:val="left"/>
            </w:pPr>
            <w:r>
              <w:rPr>
                <w:rFonts w:ascii="宋体" w:hAnsi="宋体" w:eastAsia="宋体"/>
                <w:sz w:val="18"/>
              </w:rPr>
              <w:t>自助银行网点服务要求</w:t>
            </w:r>
          </w:p>
        </w:tc>
        <w:tc>
          <w:tcPr>
            <w:tcW w:w="1205" w:type="dxa"/>
            <w:vAlign w:val="center"/>
          </w:tcPr>
          <w:p w14:paraId="5C894F11">
            <w:pPr>
              <w:spacing w:after="0" w:line="240" w:lineRule="auto"/>
              <w:jc w:val="center"/>
            </w:pPr>
            <w:r>
              <w:rPr>
                <w:rFonts w:ascii="宋体" w:hAnsi="宋体" w:eastAsia="宋体"/>
                <w:sz w:val="18"/>
              </w:rPr>
              <w:t>是</w:t>
            </w:r>
          </w:p>
        </w:tc>
        <w:tc>
          <w:tcPr>
            <w:tcW w:w="2550" w:type="dxa"/>
            <w:vAlign w:val="center"/>
          </w:tcPr>
          <w:p w14:paraId="481E5589">
            <w:pPr>
              <w:spacing w:after="0" w:line="240" w:lineRule="auto"/>
            </w:pPr>
          </w:p>
        </w:tc>
        <w:tc>
          <w:tcPr>
            <w:tcW w:w="523" w:type="dxa"/>
            <w:vAlign w:val="center"/>
          </w:tcPr>
          <w:p w14:paraId="4CC002F0">
            <w:pPr>
              <w:spacing w:after="0" w:line="240" w:lineRule="auto"/>
              <w:jc w:val="left"/>
            </w:pPr>
            <w:r>
              <w:rPr>
                <w:rFonts w:ascii="宋体" w:hAnsi="宋体" w:eastAsia="宋体"/>
                <w:sz w:val="18"/>
              </w:rPr>
              <w:t xml:space="preserve"> </w:t>
            </w:r>
          </w:p>
        </w:tc>
      </w:tr>
      <w:tr w14:paraId="0F25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05B84182">
            <w:pPr>
              <w:spacing w:after="0" w:line="240" w:lineRule="auto"/>
            </w:pPr>
          </w:p>
        </w:tc>
        <w:tc>
          <w:tcPr>
            <w:tcW w:w="1350" w:type="dxa"/>
            <w:vMerge w:val="continue"/>
            <w:vAlign w:val="center"/>
          </w:tcPr>
          <w:p w14:paraId="710BAA86">
            <w:pPr>
              <w:spacing w:after="0" w:line="240" w:lineRule="auto"/>
            </w:pPr>
          </w:p>
        </w:tc>
        <w:tc>
          <w:tcPr>
            <w:tcW w:w="2221" w:type="dxa"/>
            <w:vAlign w:val="center"/>
          </w:tcPr>
          <w:p w14:paraId="2C5E5FC3">
            <w:pPr>
              <w:spacing w:after="0" w:line="240" w:lineRule="auto"/>
              <w:jc w:val="left"/>
            </w:pPr>
            <w:r>
              <w:rPr>
                <w:rFonts w:ascii="宋体" w:hAnsi="宋体" w:eastAsia="宋体"/>
                <w:sz w:val="18"/>
              </w:rPr>
              <w:t>JR/T 0171—2020</w:t>
            </w:r>
          </w:p>
        </w:tc>
        <w:tc>
          <w:tcPr>
            <w:tcW w:w="3116" w:type="dxa"/>
            <w:vAlign w:val="center"/>
          </w:tcPr>
          <w:p w14:paraId="5698ABE9">
            <w:pPr>
              <w:spacing w:after="0" w:line="240" w:lineRule="auto"/>
              <w:jc w:val="left"/>
            </w:pPr>
            <w:r>
              <w:rPr>
                <w:rFonts w:ascii="宋体" w:hAnsi="宋体" w:eastAsia="宋体"/>
                <w:sz w:val="18"/>
              </w:rPr>
              <w:t>个人金融信息保护技术规范</w:t>
            </w:r>
          </w:p>
        </w:tc>
        <w:tc>
          <w:tcPr>
            <w:tcW w:w="1205" w:type="dxa"/>
            <w:vAlign w:val="center"/>
          </w:tcPr>
          <w:p w14:paraId="6A36576F">
            <w:pPr>
              <w:spacing w:after="0" w:line="240" w:lineRule="auto"/>
              <w:jc w:val="center"/>
            </w:pPr>
            <w:r>
              <w:rPr>
                <w:rFonts w:ascii="宋体" w:hAnsi="宋体" w:eastAsia="宋体"/>
                <w:sz w:val="18"/>
              </w:rPr>
              <w:t>是</w:t>
            </w:r>
          </w:p>
        </w:tc>
        <w:tc>
          <w:tcPr>
            <w:tcW w:w="2550" w:type="dxa"/>
            <w:vAlign w:val="center"/>
          </w:tcPr>
          <w:p w14:paraId="6835B916">
            <w:pPr>
              <w:spacing w:after="0" w:line="240" w:lineRule="auto"/>
            </w:pPr>
          </w:p>
        </w:tc>
        <w:tc>
          <w:tcPr>
            <w:tcW w:w="523" w:type="dxa"/>
            <w:vAlign w:val="center"/>
          </w:tcPr>
          <w:p w14:paraId="2F7A6BE2">
            <w:pPr>
              <w:spacing w:after="0" w:line="240" w:lineRule="auto"/>
              <w:jc w:val="left"/>
            </w:pPr>
            <w:r>
              <w:rPr>
                <w:rFonts w:ascii="宋体" w:hAnsi="宋体" w:eastAsia="宋体"/>
                <w:sz w:val="18"/>
              </w:rPr>
              <w:t xml:space="preserve"> </w:t>
            </w:r>
          </w:p>
        </w:tc>
      </w:tr>
      <w:tr w14:paraId="7359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406FDB70">
            <w:pPr>
              <w:spacing w:after="0" w:line="240" w:lineRule="auto"/>
            </w:pPr>
          </w:p>
        </w:tc>
        <w:tc>
          <w:tcPr>
            <w:tcW w:w="1350" w:type="dxa"/>
            <w:vMerge w:val="continue"/>
            <w:vAlign w:val="center"/>
          </w:tcPr>
          <w:p w14:paraId="776A4A8E">
            <w:pPr>
              <w:spacing w:after="0" w:line="240" w:lineRule="auto"/>
            </w:pPr>
          </w:p>
        </w:tc>
        <w:tc>
          <w:tcPr>
            <w:tcW w:w="2221" w:type="dxa"/>
            <w:vAlign w:val="center"/>
          </w:tcPr>
          <w:p w14:paraId="7E2D2401">
            <w:pPr>
              <w:spacing w:after="0" w:line="240" w:lineRule="auto"/>
              <w:jc w:val="left"/>
            </w:pPr>
            <w:r>
              <w:rPr>
                <w:rFonts w:ascii="宋体" w:hAnsi="宋体" w:eastAsia="宋体"/>
                <w:sz w:val="18"/>
              </w:rPr>
              <w:t>JR/T 0253—2022</w:t>
            </w:r>
          </w:p>
        </w:tc>
        <w:tc>
          <w:tcPr>
            <w:tcW w:w="3116" w:type="dxa"/>
            <w:vAlign w:val="center"/>
          </w:tcPr>
          <w:p w14:paraId="101B3D9C">
            <w:pPr>
              <w:spacing w:after="0" w:line="240" w:lineRule="auto"/>
              <w:jc w:val="left"/>
            </w:pPr>
            <w:r>
              <w:rPr>
                <w:rFonts w:ascii="宋体" w:hAnsi="宋体" w:eastAsia="宋体"/>
                <w:sz w:val="18"/>
              </w:rPr>
              <w:t>金融服务生僻字处理指南</w:t>
            </w:r>
          </w:p>
        </w:tc>
        <w:tc>
          <w:tcPr>
            <w:tcW w:w="1205" w:type="dxa"/>
            <w:vAlign w:val="center"/>
          </w:tcPr>
          <w:p w14:paraId="165A7A92">
            <w:pPr>
              <w:spacing w:after="0" w:line="240" w:lineRule="auto"/>
              <w:jc w:val="center"/>
            </w:pPr>
            <w:r>
              <w:rPr>
                <w:rFonts w:ascii="宋体" w:hAnsi="宋体" w:eastAsia="宋体"/>
                <w:sz w:val="18"/>
              </w:rPr>
              <w:t>是</w:t>
            </w:r>
          </w:p>
        </w:tc>
        <w:tc>
          <w:tcPr>
            <w:tcW w:w="2550" w:type="dxa"/>
            <w:vAlign w:val="center"/>
          </w:tcPr>
          <w:p w14:paraId="0C891B61">
            <w:pPr>
              <w:spacing w:after="0" w:line="240" w:lineRule="auto"/>
            </w:pPr>
          </w:p>
        </w:tc>
        <w:tc>
          <w:tcPr>
            <w:tcW w:w="523" w:type="dxa"/>
            <w:vAlign w:val="center"/>
          </w:tcPr>
          <w:p w14:paraId="77C90484">
            <w:pPr>
              <w:spacing w:after="0" w:line="240" w:lineRule="auto"/>
              <w:jc w:val="left"/>
            </w:pPr>
            <w:r>
              <w:rPr>
                <w:rFonts w:ascii="宋体" w:hAnsi="宋体" w:eastAsia="宋体"/>
                <w:sz w:val="18"/>
              </w:rPr>
              <w:t xml:space="preserve"> </w:t>
            </w:r>
          </w:p>
        </w:tc>
      </w:tr>
      <w:tr w14:paraId="31B1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37FC2859">
            <w:pPr>
              <w:spacing w:after="0" w:line="240" w:lineRule="auto"/>
            </w:pPr>
          </w:p>
        </w:tc>
        <w:tc>
          <w:tcPr>
            <w:tcW w:w="1350" w:type="dxa"/>
            <w:vMerge w:val="continue"/>
            <w:vAlign w:val="center"/>
          </w:tcPr>
          <w:p w14:paraId="0348251E">
            <w:pPr>
              <w:spacing w:after="0" w:line="240" w:lineRule="auto"/>
            </w:pPr>
          </w:p>
        </w:tc>
        <w:tc>
          <w:tcPr>
            <w:tcW w:w="2221" w:type="dxa"/>
            <w:vAlign w:val="center"/>
          </w:tcPr>
          <w:p w14:paraId="556D69ED">
            <w:pPr>
              <w:spacing w:after="0" w:line="240" w:lineRule="auto"/>
              <w:jc w:val="left"/>
            </w:pPr>
            <w:r>
              <w:rPr>
                <w:rFonts w:ascii="宋体" w:hAnsi="宋体" w:eastAsia="宋体"/>
                <w:sz w:val="18"/>
              </w:rPr>
              <w:t>T/BFIA 012—2022</w:t>
            </w:r>
          </w:p>
        </w:tc>
        <w:tc>
          <w:tcPr>
            <w:tcW w:w="3116" w:type="dxa"/>
            <w:vAlign w:val="center"/>
          </w:tcPr>
          <w:p w14:paraId="3CA69DB3">
            <w:pPr>
              <w:spacing w:after="0" w:line="240" w:lineRule="auto"/>
              <w:jc w:val="left"/>
            </w:pPr>
            <w:r>
              <w:rPr>
                <w:rFonts w:ascii="宋体" w:hAnsi="宋体" w:eastAsia="宋体"/>
                <w:sz w:val="18"/>
              </w:rPr>
              <w:t>银行营业网点适老服务要求</w:t>
            </w:r>
          </w:p>
        </w:tc>
        <w:tc>
          <w:tcPr>
            <w:tcW w:w="1205" w:type="dxa"/>
            <w:vAlign w:val="center"/>
          </w:tcPr>
          <w:p w14:paraId="353B0E47">
            <w:pPr>
              <w:spacing w:after="0" w:line="240" w:lineRule="auto"/>
              <w:jc w:val="center"/>
            </w:pPr>
            <w:r>
              <w:rPr>
                <w:rFonts w:ascii="宋体" w:hAnsi="宋体" w:eastAsia="宋体"/>
                <w:sz w:val="18"/>
              </w:rPr>
              <w:t>是</w:t>
            </w:r>
          </w:p>
        </w:tc>
        <w:tc>
          <w:tcPr>
            <w:tcW w:w="2550" w:type="dxa"/>
            <w:vAlign w:val="center"/>
          </w:tcPr>
          <w:p w14:paraId="73BE1D04">
            <w:pPr>
              <w:spacing w:after="0" w:line="240" w:lineRule="auto"/>
            </w:pPr>
          </w:p>
        </w:tc>
        <w:tc>
          <w:tcPr>
            <w:tcW w:w="523" w:type="dxa"/>
            <w:vAlign w:val="center"/>
          </w:tcPr>
          <w:p w14:paraId="72B5F67B">
            <w:pPr>
              <w:spacing w:after="0" w:line="240" w:lineRule="auto"/>
              <w:jc w:val="left"/>
            </w:pPr>
            <w:r>
              <w:rPr>
                <w:rFonts w:ascii="宋体" w:hAnsi="宋体" w:eastAsia="宋体"/>
                <w:sz w:val="18"/>
              </w:rPr>
              <w:t xml:space="preserve"> </w:t>
            </w:r>
          </w:p>
        </w:tc>
      </w:tr>
      <w:tr w14:paraId="4EC3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restart"/>
            <w:vAlign w:val="center"/>
          </w:tcPr>
          <w:p w14:paraId="39EE3573">
            <w:pPr>
              <w:spacing w:after="0" w:line="240" w:lineRule="auto"/>
              <w:jc w:val="center"/>
            </w:pPr>
            <w:r>
              <w:rPr>
                <w:rFonts w:ascii="宋体" w:hAnsi="宋体" w:eastAsia="宋体"/>
                <w:sz w:val="18"/>
              </w:rPr>
              <w:t>2</w:t>
            </w:r>
          </w:p>
          <w:p w14:paraId="4BAFE2A7">
            <w:pPr>
              <w:spacing w:after="0" w:line="240" w:lineRule="auto"/>
              <w:jc w:val="center"/>
            </w:pPr>
          </w:p>
          <w:p w14:paraId="212CAA64">
            <w:pPr>
              <w:spacing w:after="0" w:line="240" w:lineRule="auto"/>
              <w:jc w:val="center"/>
            </w:pPr>
          </w:p>
          <w:p w14:paraId="075A4797">
            <w:pPr>
              <w:spacing w:after="0" w:line="240" w:lineRule="auto"/>
              <w:jc w:val="center"/>
            </w:pPr>
          </w:p>
          <w:p w14:paraId="1C42897E">
            <w:pPr>
              <w:spacing w:after="0" w:line="240" w:lineRule="auto"/>
              <w:jc w:val="center"/>
            </w:pPr>
          </w:p>
        </w:tc>
        <w:tc>
          <w:tcPr>
            <w:tcW w:w="1350" w:type="dxa"/>
            <w:vMerge w:val="restart"/>
            <w:vAlign w:val="center"/>
          </w:tcPr>
          <w:p w14:paraId="17F36482">
            <w:pPr>
              <w:spacing w:after="0" w:line="240" w:lineRule="auto"/>
              <w:jc w:val="left"/>
            </w:pPr>
            <w:r>
              <w:rPr>
                <w:rFonts w:ascii="宋体" w:hAnsi="宋体" w:eastAsia="宋体"/>
                <w:sz w:val="18"/>
              </w:rPr>
              <w:t>网上银行服务</w:t>
            </w:r>
          </w:p>
          <w:p w14:paraId="56480BAB">
            <w:pPr>
              <w:spacing w:after="0" w:line="240" w:lineRule="auto"/>
              <w:jc w:val="left"/>
            </w:pPr>
          </w:p>
          <w:p w14:paraId="74D5A07F">
            <w:pPr>
              <w:spacing w:after="0" w:line="240" w:lineRule="auto"/>
              <w:jc w:val="left"/>
            </w:pPr>
          </w:p>
          <w:p w14:paraId="35C3687B">
            <w:pPr>
              <w:spacing w:after="0" w:line="240" w:lineRule="auto"/>
              <w:jc w:val="left"/>
            </w:pPr>
          </w:p>
          <w:p w14:paraId="5F8409C9">
            <w:pPr>
              <w:spacing w:after="0" w:line="240" w:lineRule="auto"/>
              <w:jc w:val="left"/>
            </w:pPr>
          </w:p>
        </w:tc>
        <w:tc>
          <w:tcPr>
            <w:tcW w:w="2221" w:type="dxa"/>
            <w:vAlign w:val="center"/>
          </w:tcPr>
          <w:p w14:paraId="0FAA9C71">
            <w:pPr>
              <w:spacing w:after="0" w:line="240" w:lineRule="auto"/>
              <w:jc w:val="left"/>
            </w:pPr>
            <w:r>
              <w:rPr>
                <w:rFonts w:ascii="宋体" w:hAnsi="宋体" w:eastAsia="宋体"/>
                <w:sz w:val="18"/>
              </w:rPr>
              <w:t>Q_320724GNNSH 003-2024</w:t>
            </w:r>
          </w:p>
        </w:tc>
        <w:tc>
          <w:tcPr>
            <w:tcW w:w="3116" w:type="dxa"/>
            <w:vAlign w:val="center"/>
          </w:tcPr>
          <w:p w14:paraId="6300F7E6">
            <w:pPr>
              <w:spacing w:after="0" w:line="240" w:lineRule="auto"/>
              <w:jc w:val="left"/>
            </w:pPr>
            <w:r>
              <w:rPr>
                <w:rFonts w:ascii="宋体" w:hAnsi="宋体" w:eastAsia="宋体"/>
                <w:sz w:val="18"/>
              </w:rPr>
              <w:t>江苏灌南农村商业银行网上银行服务标准</w:t>
            </w:r>
          </w:p>
        </w:tc>
        <w:tc>
          <w:tcPr>
            <w:tcW w:w="1205" w:type="dxa"/>
            <w:vAlign w:val="center"/>
          </w:tcPr>
          <w:p w14:paraId="705DEE27">
            <w:pPr>
              <w:spacing w:after="0" w:line="240" w:lineRule="auto"/>
              <w:jc w:val="center"/>
            </w:pPr>
            <w:r>
              <w:rPr>
                <w:rFonts w:ascii="宋体" w:hAnsi="宋体" w:eastAsia="宋体"/>
                <w:sz w:val="18"/>
              </w:rPr>
              <w:t>是</w:t>
            </w:r>
          </w:p>
        </w:tc>
        <w:tc>
          <w:tcPr>
            <w:tcW w:w="2550" w:type="dxa"/>
            <w:vAlign w:val="center"/>
          </w:tcPr>
          <w:p w14:paraId="6E663CB3">
            <w:pPr>
              <w:spacing w:after="0" w:line="240" w:lineRule="auto"/>
              <w:jc w:val="left"/>
            </w:pPr>
            <w:r>
              <w:rPr>
                <w:rFonts w:ascii="宋体" w:hAnsi="宋体" w:eastAsia="宋体"/>
                <w:sz w:val="18"/>
              </w:rPr>
              <w:t>https://www.qybz.org.cn/user/detail/4fa7deb2ba94e14c32adacd6b7aa914e88da33f1748db0fb6d17e9b1fa1312031667e8270e92630f8ddeed1ee4fdb693</w:t>
            </w:r>
          </w:p>
        </w:tc>
        <w:tc>
          <w:tcPr>
            <w:tcW w:w="523" w:type="dxa"/>
            <w:vAlign w:val="center"/>
          </w:tcPr>
          <w:p w14:paraId="3B0B8996">
            <w:pPr>
              <w:spacing w:after="0" w:line="240" w:lineRule="auto"/>
              <w:jc w:val="left"/>
            </w:pPr>
          </w:p>
        </w:tc>
      </w:tr>
      <w:tr w14:paraId="17B4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0C9F25C3">
            <w:pPr>
              <w:spacing w:after="0" w:line="240" w:lineRule="auto"/>
            </w:pPr>
          </w:p>
        </w:tc>
        <w:tc>
          <w:tcPr>
            <w:tcW w:w="1350" w:type="dxa"/>
            <w:vMerge w:val="continue"/>
            <w:vAlign w:val="center"/>
          </w:tcPr>
          <w:p w14:paraId="17281730">
            <w:pPr>
              <w:spacing w:after="0" w:line="240" w:lineRule="auto"/>
            </w:pPr>
          </w:p>
        </w:tc>
        <w:tc>
          <w:tcPr>
            <w:tcW w:w="2221" w:type="dxa"/>
            <w:vAlign w:val="center"/>
          </w:tcPr>
          <w:p w14:paraId="4C1228A2">
            <w:pPr>
              <w:spacing w:after="0" w:line="240" w:lineRule="auto"/>
              <w:jc w:val="left"/>
            </w:pPr>
            <w:r>
              <w:rPr>
                <w:rFonts w:ascii="宋体" w:hAnsi="宋体" w:eastAsia="宋体"/>
                <w:sz w:val="18"/>
              </w:rPr>
              <w:t>GB/T 32325—2015</w:t>
            </w:r>
          </w:p>
        </w:tc>
        <w:tc>
          <w:tcPr>
            <w:tcW w:w="3116" w:type="dxa"/>
            <w:vAlign w:val="center"/>
          </w:tcPr>
          <w:p w14:paraId="4DA53057">
            <w:pPr>
              <w:spacing w:after="0" w:line="240" w:lineRule="auto"/>
              <w:jc w:val="left"/>
            </w:pPr>
            <w:r>
              <w:rPr>
                <w:rFonts w:ascii="宋体" w:hAnsi="宋体" w:eastAsia="宋体"/>
                <w:sz w:val="18"/>
              </w:rPr>
              <w:t>《银行行业客户服务中心基本要求》</w:t>
            </w:r>
          </w:p>
        </w:tc>
        <w:tc>
          <w:tcPr>
            <w:tcW w:w="1205" w:type="dxa"/>
            <w:vAlign w:val="center"/>
          </w:tcPr>
          <w:p w14:paraId="2BA30BC6">
            <w:pPr>
              <w:spacing w:after="0" w:line="240" w:lineRule="auto"/>
              <w:jc w:val="center"/>
            </w:pPr>
            <w:r>
              <w:rPr>
                <w:rFonts w:ascii="宋体" w:hAnsi="宋体" w:eastAsia="宋体"/>
                <w:sz w:val="18"/>
              </w:rPr>
              <w:t>是</w:t>
            </w:r>
          </w:p>
        </w:tc>
        <w:tc>
          <w:tcPr>
            <w:tcW w:w="2550" w:type="dxa"/>
            <w:vAlign w:val="center"/>
          </w:tcPr>
          <w:p w14:paraId="70FEA0B6">
            <w:pPr>
              <w:spacing w:after="0" w:line="240" w:lineRule="auto"/>
            </w:pPr>
          </w:p>
        </w:tc>
        <w:tc>
          <w:tcPr>
            <w:tcW w:w="523" w:type="dxa"/>
            <w:vAlign w:val="center"/>
          </w:tcPr>
          <w:p w14:paraId="2AD7FA9F">
            <w:pPr>
              <w:spacing w:after="0" w:line="240" w:lineRule="auto"/>
              <w:jc w:val="left"/>
            </w:pPr>
          </w:p>
        </w:tc>
      </w:tr>
      <w:tr w14:paraId="61F3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2492F211">
            <w:pPr>
              <w:spacing w:after="0" w:line="240" w:lineRule="auto"/>
            </w:pPr>
          </w:p>
        </w:tc>
        <w:tc>
          <w:tcPr>
            <w:tcW w:w="1350" w:type="dxa"/>
            <w:vMerge w:val="continue"/>
            <w:vAlign w:val="center"/>
          </w:tcPr>
          <w:p w14:paraId="7BD3E7DB">
            <w:pPr>
              <w:spacing w:after="0" w:line="240" w:lineRule="auto"/>
            </w:pPr>
          </w:p>
        </w:tc>
        <w:tc>
          <w:tcPr>
            <w:tcW w:w="2221" w:type="dxa"/>
            <w:vAlign w:val="center"/>
          </w:tcPr>
          <w:p w14:paraId="0C7ECC83">
            <w:pPr>
              <w:spacing w:after="0" w:line="240" w:lineRule="auto"/>
              <w:jc w:val="left"/>
            </w:pPr>
            <w:r>
              <w:rPr>
                <w:rFonts w:ascii="宋体" w:hAnsi="宋体" w:eastAsia="宋体"/>
                <w:sz w:val="18"/>
              </w:rPr>
              <w:t>GB/T 35273—2017</w:t>
            </w:r>
          </w:p>
        </w:tc>
        <w:tc>
          <w:tcPr>
            <w:tcW w:w="3116" w:type="dxa"/>
            <w:vAlign w:val="center"/>
          </w:tcPr>
          <w:p w14:paraId="0BDEC20E">
            <w:pPr>
              <w:spacing w:after="0" w:line="240" w:lineRule="auto"/>
              <w:jc w:val="left"/>
            </w:pPr>
            <w:r>
              <w:rPr>
                <w:rFonts w:ascii="宋体" w:hAnsi="宋体" w:eastAsia="宋体"/>
                <w:sz w:val="18"/>
              </w:rPr>
              <w:t>《信息安全技术个人信息安全规范》</w:t>
            </w:r>
          </w:p>
        </w:tc>
        <w:tc>
          <w:tcPr>
            <w:tcW w:w="1205" w:type="dxa"/>
            <w:vAlign w:val="center"/>
          </w:tcPr>
          <w:p w14:paraId="73E381C6">
            <w:pPr>
              <w:spacing w:after="0" w:line="240" w:lineRule="auto"/>
              <w:jc w:val="center"/>
            </w:pPr>
            <w:r>
              <w:rPr>
                <w:rFonts w:ascii="宋体" w:hAnsi="宋体" w:eastAsia="宋体"/>
                <w:sz w:val="18"/>
              </w:rPr>
              <w:t>是</w:t>
            </w:r>
          </w:p>
        </w:tc>
        <w:tc>
          <w:tcPr>
            <w:tcW w:w="2550" w:type="dxa"/>
            <w:vAlign w:val="center"/>
          </w:tcPr>
          <w:p w14:paraId="1C6B01C1">
            <w:pPr>
              <w:spacing w:after="0" w:line="240" w:lineRule="auto"/>
            </w:pPr>
          </w:p>
        </w:tc>
        <w:tc>
          <w:tcPr>
            <w:tcW w:w="523" w:type="dxa"/>
            <w:vAlign w:val="center"/>
          </w:tcPr>
          <w:p w14:paraId="6AB7E2EA">
            <w:pPr>
              <w:spacing w:after="0" w:line="240" w:lineRule="auto"/>
              <w:jc w:val="left"/>
            </w:pPr>
          </w:p>
        </w:tc>
      </w:tr>
      <w:tr w14:paraId="0CDE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26102091">
            <w:pPr>
              <w:spacing w:after="0" w:line="240" w:lineRule="auto"/>
            </w:pPr>
          </w:p>
        </w:tc>
        <w:tc>
          <w:tcPr>
            <w:tcW w:w="1350" w:type="dxa"/>
            <w:vMerge w:val="continue"/>
            <w:vAlign w:val="center"/>
          </w:tcPr>
          <w:p w14:paraId="70D8909F">
            <w:pPr>
              <w:spacing w:after="0" w:line="240" w:lineRule="auto"/>
            </w:pPr>
          </w:p>
        </w:tc>
        <w:tc>
          <w:tcPr>
            <w:tcW w:w="2221" w:type="dxa"/>
            <w:vAlign w:val="center"/>
          </w:tcPr>
          <w:p w14:paraId="570D52E5">
            <w:pPr>
              <w:spacing w:after="0" w:line="240" w:lineRule="auto"/>
              <w:jc w:val="left"/>
            </w:pPr>
            <w:r>
              <w:rPr>
                <w:rFonts w:ascii="宋体" w:hAnsi="宋体" w:eastAsia="宋体"/>
                <w:sz w:val="18"/>
              </w:rPr>
              <w:t>JR/T 0068—2012</w:t>
            </w:r>
          </w:p>
        </w:tc>
        <w:tc>
          <w:tcPr>
            <w:tcW w:w="3116" w:type="dxa"/>
            <w:vAlign w:val="center"/>
          </w:tcPr>
          <w:p w14:paraId="1B285804">
            <w:pPr>
              <w:spacing w:after="0" w:line="240" w:lineRule="auto"/>
              <w:jc w:val="left"/>
            </w:pPr>
            <w:r>
              <w:rPr>
                <w:rFonts w:ascii="宋体" w:hAnsi="宋体" w:eastAsia="宋体"/>
                <w:sz w:val="18"/>
              </w:rPr>
              <w:t>《网上银行系统信息安全通用规范》</w:t>
            </w:r>
          </w:p>
        </w:tc>
        <w:tc>
          <w:tcPr>
            <w:tcW w:w="1205" w:type="dxa"/>
            <w:vAlign w:val="center"/>
          </w:tcPr>
          <w:p w14:paraId="1943CDAB">
            <w:pPr>
              <w:spacing w:after="0" w:line="240" w:lineRule="auto"/>
              <w:jc w:val="center"/>
            </w:pPr>
            <w:r>
              <w:rPr>
                <w:rFonts w:ascii="宋体" w:hAnsi="宋体" w:eastAsia="宋体"/>
                <w:sz w:val="18"/>
              </w:rPr>
              <w:t>是</w:t>
            </w:r>
          </w:p>
        </w:tc>
        <w:tc>
          <w:tcPr>
            <w:tcW w:w="2550" w:type="dxa"/>
            <w:vAlign w:val="center"/>
          </w:tcPr>
          <w:p w14:paraId="698AE9AC">
            <w:pPr>
              <w:spacing w:after="0" w:line="240" w:lineRule="auto"/>
            </w:pPr>
          </w:p>
        </w:tc>
        <w:tc>
          <w:tcPr>
            <w:tcW w:w="523" w:type="dxa"/>
            <w:vAlign w:val="center"/>
          </w:tcPr>
          <w:p w14:paraId="4136BAC9">
            <w:pPr>
              <w:spacing w:after="0" w:line="240" w:lineRule="auto"/>
              <w:jc w:val="left"/>
            </w:pPr>
          </w:p>
        </w:tc>
      </w:tr>
      <w:tr w14:paraId="7ACB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467A0842">
            <w:pPr>
              <w:spacing w:after="0" w:line="240" w:lineRule="auto"/>
            </w:pPr>
          </w:p>
        </w:tc>
        <w:tc>
          <w:tcPr>
            <w:tcW w:w="1350" w:type="dxa"/>
            <w:vMerge w:val="continue"/>
            <w:vAlign w:val="center"/>
          </w:tcPr>
          <w:p w14:paraId="78393C37">
            <w:pPr>
              <w:spacing w:after="0" w:line="240" w:lineRule="auto"/>
            </w:pPr>
          </w:p>
        </w:tc>
        <w:tc>
          <w:tcPr>
            <w:tcW w:w="2221" w:type="dxa"/>
            <w:vAlign w:val="center"/>
          </w:tcPr>
          <w:p w14:paraId="458F2FA1">
            <w:pPr>
              <w:spacing w:after="0" w:line="240" w:lineRule="auto"/>
              <w:jc w:val="left"/>
            </w:pPr>
            <w:r>
              <w:rPr>
                <w:rFonts w:ascii="宋体" w:hAnsi="宋体" w:eastAsia="宋体"/>
                <w:sz w:val="18"/>
              </w:rPr>
              <w:t>JR/T 0071—2012</w:t>
            </w:r>
          </w:p>
        </w:tc>
        <w:tc>
          <w:tcPr>
            <w:tcW w:w="3116" w:type="dxa"/>
            <w:vAlign w:val="center"/>
          </w:tcPr>
          <w:p w14:paraId="241759B9">
            <w:pPr>
              <w:spacing w:after="0" w:line="240" w:lineRule="auto"/>
              <w:jc w:val="left"/>
            </w:pPr>
            <w:r>
              <w:rPr>
                <w:rFonts w:ascii="宋体" w:hAnsi="宋体" w:eastAsia="宋体"/>
                <w:sz w:val="18"/>
              </w:rPr>
              <w:t>《金融行业信息系统信息安全等级保护实施指引》</w:t>
            </w:r>
          </w:p>
        </w:tc>
        <w:tc>
          <w:tcPr>
            <w:tcW w:w="1205" w:type="dxa"/>
            <w:vAlign w:val="center"/>
          </w:tcPr>
          <w:p w14:paraId="2F591E01">
            <w:pPr>
              <w:spacing w:after="0" w:line="240" w:lineRule="auto"/>
              <w:jc w:val="center"/>
            </w:pPr>
            <w:r>
              <w:rPr>
                <w:rFonts w:ascii="宋体" w:hAnsi="宋体" w:eastAsia="宋体"/>
                <w:sz w:val="18"/>
              </w:rPr>
              <w:t>是</w:t>
            </w:r>
          </w:p>
        </w:tc>
        <w:tc>
          <w:tcPr>
            <w:tcW w:w="2550" w:type="dxa"/>
            <w:vAlign w:val="center"/>
          </w:tcPr>
          <w:p w14:paraId="43C85A81">
            <w:pPr>
              <w:spacing w:after="0" w:line="240" w:lineRule="auto"/>
            </w:pPr>
          </w:p>
        </w:tc>
        <w:tc>
          <w:tcPr>
            <w:tcW w:w="523" w:type="dxa"/>
            <w:vAlign w:val="center"/>
          </w:tcPr>
          <w:p w14:paraId="6AD68F50">
            <w:pPr>
              <w:spacing w:after="0" w:line="240" w:lineRule="auto"/>
              <w:jc w:val="left"/>
            </w:pPr>
          </w:p>
        </w:tc>
      </w:tr>
      <w:tr w14:paraId="0C70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restart"/>
            <w:vAlign w:val="center"/>
          </w:tcPr>
          <w:p w14:paraId="6678E780">
            <w:pPr>
              <w:spacing w:after="0" w:line="240" w:lineRule="auto"/>
              <w:jc w:val="center"/>
            </w:pPr>
            <w:r>
              <w:rPr>
                <w:rFonts w:ascii="宋体" w:hAnsi="宋体" w:eastAsia="宋体"/>
                <w:sz w:val="18"/>
              </w:rPr>
              <w:t>3</w:t>
            </w:r>
          </w:p>
          <w:p w14:paraId="4C93A1E3">
            <w:pPr>
              <w:spacing w:after="0" w:line="240" w:lineRule="auto"/>
              <w:jc w:val="center"/>
            </w:pPr>
          </w:p>
          <w:p w14:paraId="12BFC6E0">
            <w:pPr>
              <w:spacing w:after="0" w:line="240" w:lineRule="auto"/>
              <w:jc w:val="center"/>
            </w:pPr>
          </w:p>
          <w:p w14:paraId="4BF75FD0">
            <w:pPr>
              <w:spacing w:after="0" w:line="240" w:lineRule="auto"/>
              <w:jc w:val="center"/>
            </w:pPr>
          </w:p>
        </w:tc>
        <w:tc>
          <w:tcPr>
            <w:tcW w:w="1350" w:type="dxa"/>
            <w:vMerge w:val="restart"/>
            <w:vAlign w:val="center"/>
          </w:tcPr>
          <w:p w14:paraId="77749E9F">
            <w:pPr>
              <w:spacing w:after="0" w:line="240" w:lineRule="auto"/>
              <w:jc w:val="left"/>
            </w:pPr>
            <w:r>
              <w:rPr>
                <w:rFonts w:ascii="宋体" w:hAnsi="宋体" w:eastAsia="宋体"/>
                <w:sz w:val="18"/>
              </w:rPr>
              <w:t>客户端软件安全</w:t>
            </w:r>
          </w:p>
          <w:p w14:paraId="749C6355">
            <w:pPr>
              <w:spacing w:after="0" w:line="240" w:lineRule="auto"/>
              <w:jc w:val="left"/>
            </w:pPr>
          </w:p>
          <w:p w14:paraId="4E8AB93D">
            <w:pPr>
              <w:spacing w:after="0" w:line="240" w:lineRule="auto"/>
              <w:jc w:val="left"/>
            </w:pPr>
          </w:p>
          <w:p w14:paraId="7ABA0B23">
            <w:pPr>
              <w:spacing w:after="0" w:line="240" w:lineRule="auto"/>
              <w:jc w:val="left"/>
            </w:pPr>
          </w:p>
        </w:tc>
        <w:tc>
          <w:tcPr>
            <w:tcW w:w="2221" w:type="dxa"/>
            <w:vAlign w:val="center"/>
          </w:tcPr>
          <w:p w14:paraId="7E715C13">
            <w:pPr>
              <w:spacing w:after="0" w:line="240" w:lineRule="auto"/>
              <w:jc w:val="left"/>
            </w:pPr>
            <w:r>
              <w:rPr>
                <w:rFonts w:ascii="宋体" w:hAnsi="宋体" w:eastAsia="宋体"/>
                <w:sz w:val="18"/>
              </w:rPr>
              <w:t>Q_320724GNNSH 004-2024</w:t>
            </w:r>
          </w:p>
        </w:tc>
        <w:tc>
          <w:tcPr>
            <w:tcW w:w="3116" w:type="dxa"/>
            <w:vAlign w:val="center"/>
          </w:tcPr>
          <w:p w14:paraId="4B88B261">
            <w:pPr>
              <w:spacing w:after="0" w:line="240" w:lineRule="auto"/>
              <w:jc w:val="left"/>
            </w:pPr>
            <w:r>
              <w:rPr>
                <w:rFonts w:ascii="宋体" w:hAnsi="宋体" w:eastAsia="宋体"/>
                <w:sz w:val="18"/>
              </w:rPr>
              <w:t>江苏灌南农村商业银行客户端安全管理规范</w:t>
            </w:r>
          </w:p>
        </w:tc>
        <w:tc>
          <w:tcPr>
            <w:tcW w:w="1205" w:type="dxa"/>
            <w:vAlign w:val="center"/>
          </w:tcPr>
          <w:p w14:paraId="780F275E">
            <w:pPr>
              <w:spacing w:after="0" w:line="240" w:lineRule="auto"/>
              <w:jc w:val="center"/>
            </w:pPr>
            <w:r>
              <w:rPr>
                <w:rFonts w:ascii="宋体" w:hAnsi="宋体" w:eastAsia="宋体"/>
                <w:sz w:val="18"/>
              </w:rPr>
              <w:t>是</w:t>
            </w:r>
          </w:p>
        </w:tc>
        <w:tc>
          <w:tcPr>
            <w:tcW w:w="2550" w:type="dxa"/>
            <w:vAlign w:val="center"/>
          </w:tcPr>
          <w:p w14:paraId="7B5A8D73">
            <w:pPr>
              <w:spacing w:after="0" w:line="240" w:lineRule="auto"/>
              <w:jc w:val="left"/>
            </w:pPr>
            <w:r>
              <w:rPr>
                <w:rFonts w:ascii="宋体" w:hAnsi="宋体" w:eastAsia="宋体"/>
                <w:sz w:val="18"/>
              </w:rPr>
              <w:t>https://www.qybz.org.cn/user/detail/ac520515d051cf20582e10f2c5db7fedc280a1d7c51165cd59611df9817ce2bb1667e8270e92630f8ddeed1ee4fdb693</w:t>
            </w:r>
          </w:p>
        </w:tc>
        <w:tc>
          <w:tcPr>
            <w:tcW w:w="523" w:type="dxa"/>
            <w:vAlign w:val="center"/>
          </w:tcPr>
          <w:p w14:paraId="4B079BD4">
            <w:pPr>
              <w:spacing w:after="0" w:line="240" w:lineRule="auto"/>
              <w:jc w:val="left"/>
            </w:pPr>
          </w:p>
        </w:tc>
      </w:tr>
      <w:tr w14:paraId="1B09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3C9DEB0A">
            <w:pPr>
              <w:spacing w:after="0" w:line="240" w:lineRule="auto"/>
            </w:pPr>
          </w:p>
        </w:tc>
        <w:tc>
          <w:tcPr>
            <w:tcW w:w="1350" w:type="dxa"/>
            <w:vMerge w:val="continue"/>
            <w:vAlign w:val="center"/>
          </w:tcPr>
          <w:p w14:paraId="292D4222">
            <w:pPr>
              <w:spacing w:after="0" w:line="240" w:lineRule="auto"/>
            </w:pPr>
          </w:p>
        </w:tc>
        <w:tc>
          <w:tcPr>
            <w:tcW w:w="2221" w:type="dxa"/>
            <w:vAlign w:val="center"/>
          </w:tcPr>
          <w:p w14:paraId="022F6FD6">
            <w:pPr>
              <w:spacing w:after="0" w:line="240" w:lineRule="auto"/>
              <w:jc w:val="left"/>
            </w:pPr>
            <w:r>
              <w:rPr>
                <w:rFonts w:ascii="宋体" w:hAnsi="宋体" w:eastAsia="宋体"/>
                <w:sz w:val="18"/>
              </w:rPr>
              <w:t>GB/T 35273-2017</w:t>
            </w:r>
          </w:p>
        </w:tc>
        <w:tc>
          <w:tcPr>
            <w:tcW w:w="3116" w:type="dxa"/>
            <w:vAlign w:val="center"/>
          </w:tcPr>
          <w:p w14:paraId="2490BED7">
            <w:pPr>
              <w:spacing w:after="0" w:line="240" w:lineRule="auto"/>
              <w:jc w:val="left"/>
            </w:pPr>
            <w:r>
              <w:rPr>
                <w:rFonts w:ascii="宋体" w:hAnsi="宋体" w:eastAsia="宋体"/>
                <w:sz w:val="18"/>
              </w:rPr>
              <w:t>信息安全技术个人信息安全规范</w:t>
            </w:r>
          </w:p>
        </w:tc>
        <w:tc>
          <w:tcPr>
            <w:tcW w:w="1205" w:type="dxa"/>
            <w:vAlign w:val="center"/>
          </w:tcPr>
          <w:p w14:paraId="25F51CD9">
            <w:pPr>
              <w:spacing w:after="0" w:line="240" w:lineRule="auto"/>
              <w:jc w:val="center"/>
            </w:pPr>
            <w:r>
              <w:rPr>
                <w:rFonts w:ascii="宋体" w:hAnsi="宋体" w:eastAsia="宋体"/>
                <w:sz w:val="18"/>
              </w:rPr>
              <w:t>是</w:t>
            </w:r>
          </w:p>
        </w:tc>
        <w:tc>
          <w:tcPr>
            <w:tcW w:w="2550" w:type="dxa"/>
            <w:vAlign w:val="center"/>
          </w:tcPr>
          <w:p w14:paraId="56A6F57D">
            <w:pPr>
              <w:spacing w:after="0" w:line="240" w:lineRule="auto"/>
            </w:pPr>
          </w:p>
        </w:tc>
        <w:tc>
          <w:tcPr>
            <w:tcW w:w="523" w:type="dxa"/>
            <w:vAlign w:val="center"/>
          </w:tcPr>
          <w:p w14:paraId="005C4D4E">
            <w:pPr>
              <w:spacing w:after="0" w:line="240" w:lineRule="auto"/>
              <w:jc w:val="left"/>
            </w:pPr>
          </w:p>
        </w:tc>
      </w:tr>
      <w:tr w14:paraId="09B9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1DDF01CB">
            <w:pPr>
              <w:spacing w:after="0" w:line="240" w:lineRule="auto"/>
            </w:pPr>
          </w:p>
        </w:tc>
        <w:tc>
          <w:tcPr>
            <w:tcW w:w="1350" w:type="dxa"/>
            <w:vMerge w:val="continue"/>
            <w:vAlign w:val="center"/>
          </w:tcPr>
          <w:p w14:paraId="1553DEDC">
            <w:pPr>
              <w:spacing w:after="0" w:line="240" w:lineRule="auto"/>
            </w:pPr>
          </w:p>
        </w:tc>
        <w:tc>
          <w:tcPr>
            <w:tcW w:w="2221" w:type="dxa"/>
            <w:vAlign w:val="center"/>
          </w:tcPr>
          <w:p w14:paraId="588B0292">
            <w:pPr>
              <w:spacing w:after="0" w:line="240" w:lineRule="auto"/>
              <w:jc w:val="left"/>
            </w:pPr>
            <w:r>
              <w:rPr>
                <w:rFonts w:ascii="宋体" w:hAnsi="宋体" w:eastAsia="宋体"/>
                <w:sz w:val="18"/>
              </w:rPr>
              <w:t>JR/T 0071-2012</w:t>
            </w:r>
          </w:p>
        </w:tc>
        <w:tc>
          <w:tcPr>
            <w:tcW w:w="3116" w:type="dxa"/>
            <w:vAlign w:val="center"/>
          </w:tcPr>
          <w:p w14:paraId="0BA0CEF5">
            <w:pPr>
              <w:spacing w:after="0" w:line="240" w:lineRule="auto"/>
              <w:jc w:val="left"/>
            </w:pPr>
            <w:r>
              <w:rPr>
                <w:rFonts w:ascii="宋体" w:hAnsi="宋体" w:eastAsia="宋体"/>
                <w:sz w:val="18"/>
              </w:rPr>
              <w:t>金融行业信息系统信息安全等级保护实施指引</w:t>
            </w:r>
          </w:p>
        </w:tc>
        <w:tc>
          <w:tcPr>
            <w:tcW w:w="1205" w:type="dxa"/>
            <w:vAlign w:val="center"/>
          </w:tcPr>
          <w:p w14:paraId="11FEBA8E">
            <w:pPr>
              <w:spacing w:after="0" w:line="240" w:lineRule="auto"/>
              <w:jc w:val="center"/>
            </w:pPr>
            <w:r>
              <w:rPr>
                <w:rFonts w:ascii="宋体" w:hAnsi="宋体" w:eastAsia="宋体"/>
                <w:sz w:val="18"/>
              </w:rPr>
              <w:t>是</w:t>
            </w:r>
          </w:p>
        </w:tc>
        <w:tc>
          <w:tcPr>
            <w:tcW w:w="2550" w:type="dxa"/>
            <w:vAlign w:val="center"/>
          </w:tcPr>
          <w:p w14:paraId="514468D8">
            <w:pPr>
              <w:spacing w:after="0" w:line="240" w:lineRule="auto"/>
            </w:pPr>
          </w:p>
        </w:tc>
        <w:tc>
          <w:tcPr>
            <w:tcW w:w="523" w:type="dxa"/>
            <w:vAlign w:val="center"/>
          </w:tcPr>
          <w:p w14:paraId="4188D6E0">
            <w:pPr>
              <w:spacing w:after="0" w:line="240" w:lineRule="auto"/>
              <w:jc w:val="left"/>
            </w:pPr>
          </w:p>
        </w:tc>
      </w:tr>
      <w:tr w14:paraId="4827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00778A35">
            <w:pPr>
              <w:spacing w:after="0" w:line="240" w:lineRule="auto"/>
            </w:pPr>
          </w:p>
        </w:tc>
        <w:tc>
          <w:tcPr>
            <w:tcW w:w="1350" w:type="dxa"/>
            <w:vMerge w:val="continue"/>
            <w:vAlign w:val="center"/>
          </w:tcPr>
          <w:p w14:paraId="63CBBBE2">
            <w:pPr>
              <w:spacing w:after="0" w:line="240" w:lineRule="auto"/>
            </w:pPr>
          </w:p>
        </w:tc>
        <w:tc>
          <w:tcPr>
            <w:tcW w:w="2221" w:type="dxa"/>
            <w:vAlign w:val="center"/>
          </w:tcPr>
          <w:p w14:paraId="7EF76AEA">
            <w:pPr>
              <w:spacing w:after="0" w:line="240" w:lineRule="auto"/>
              <w:jc w:val="left"/>
            </w:pPr>
            <w:r>
              <w:rPr>
                <w:rFonts w:ascii="宋体" w:hAnsi="宋体" w:eastAsia="宋体"/>
                <w:sz w:val="18"/>
              </w:rPr>
              <w:t>JR/T 0092—2019</w:t>
            </w:r>
          </w:p>
        </w:tc>
        <w:tc>
          <w:tcPr>
            <w:tcW w:w="3116" w:type="dxa"/>
            <w:vAlign w:val="center"/>
          </w:tcPr>
          <w:p w14:paraId="2D0AB23D">
            <w:pPr>
              <w:spacing w:after="0" w:line="240" w:lineRule="auto"/>
              <w:jc w:val="left"/>
            </w:pPr>
            <w:r>
              <w:rPr>
                <w:rFonts w:ascii="宋体" w:hAnsi="宋体" w:eastAsia="宋体"/>
                <w:sz w:val="18"/>
              </w:rPr>
              <w:t>移动金融客户端应用软件安全管理规范</w:t>
            </w:r>
          </w:p>
        </w:tc>
        <w:tc>
          <w:tcPr>
            <w:tcW w:w="1205" w:type="dxa"/>
            <w:vAlign w:val="center"/>
          </w:tcPr>
          <w:p w14:paraId="6EE71770">
            <w:pPr>
              <w:spacing w:after="0" w:line="240" w:lineRule="auto"/>
              <w:jc w:val="center"/>
            </w:pPr>
            <w:r>
              <w:rPr>
                <w:rFonts w:ascii="宋体" w:hAnsi="宋体" w:eastAsia="宋体"/>
                <w:sz w:val="18"/>
              </w:rPr>
              <w:t>是</w:t>
            </w:r>
          </w:p>
        </w:tc>
        <w:tc>
          <w:tcPr>
            <w:tcW w:w="2550" w:type="dxa"/>
            <w:vAlign w:val="center"/>
          </w:tcPr>
          <w:p w14:paraId="17086C9E">
            <w:pPr>
              <w:spacing w:after="0" w:line="240" w:lineRule="auto"/>
            </w:pPr>
          </w:p>
        </w:tc>
        <w:tc>
          <w:tcPr>
            <w:tcW w:w="523" w:type="dxa"/>
            <w:vAlign w:val="center"/>
          </w:tcPr>
          <w:p w14:paraId="05E2D20B">
            <w:pPr>
              <w:spacing w:after="0" w:line="240" w:lineRule="auto"/>
              <w:jc w:val="left"/>
            </w:pPr>
          </w:p>
        </w:tc>
      </w:tr>
      <w:tr w14:paraId="6BD1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restart"/>
            <w:vAlign w:val="center"/>
          </w:tcPr>
          <w:p w14:paraId="17C7F5A8">
            <w:pPr>
              <w:spacing w:after="0" w:line="240" w:lineRule="auto"/>
              <w:jc w:val="center"/>
            </w:pPr>
            <w:r>
              <w:rPr>
                <w:rFonts w:ascii="宋体" w:hAnsi="宋体" w:eastAsia="宋体"/>
                <w:sz w:val="18"/>
              </w:rPr>
              <w:t>4</w:t>
            </w:r>
          </w:p>
          <w:p w14:paraId="0E8FF112">
            <w:pPr>
              <w:spacing w:after="0" w:line="240" w:lineRule="auto"/>
              <w:jc w:val="center"/>
            </w:pPr>
          </w:p>
          <w:p w14:paraId="719D0A05">
            <w:pPr>
              <w:spacing w:after="0" w:line="240" w:lineRule="auto"/>
              <w:jc w:val="center"/>
            </w:pPr>
          </w:p>
          <w:p w14:paraId="1E958BB9">
            <w:pPr>
              <w:spacing w:after="0" w:line="240" w:lineRule="auto"/>
              <w:jc w:val="center"/>
            </w:pPr>
          </w:p>
          <w:p w14:paraId="57DEEBFC">
            <w:pPr>
              <w:spacing w:after="0" w:line="240" w:lineRule="auto"/>
              <w:jc w:val="center"/>
            </w:pPr>
          </w:p>
          <w:p w14:paraId="7519694E">
            <w:pPr>
              <w:spacing w:after="0" w:line="240" w:lineRule="auto"/>
              <w:jc w:val="center"/>
            </w:pPr>
          </w:p>
        </w:tc>
        <w:tc>
          <w:tcPr>
            <w:tcW w:w="1350" w:type="dxa"/>
            <w:vMerge w:val="restart"/>
            <w:vAlign w:val="center"/>
          </w:tcPr>
          <w:p w14:paraId="092D1674">
            <w:pPr>
              <w:spacing w:after="0" w:line="240" w:lineRule="auto"/>
              <w:jc w:val="left"/>
            </w:pPr>
            <w:r>
              <w:rPr>
                <w:rFonts w:ascii="宋体" w:hAnsi="宋体" w:eastAsia="宋体"/>
                <w:sz w:val="18"/>
              </w:rPr>
              <w:t>接口平台</w:t>
            </w:r>
          </w:p>
          <w:p w14:paraId="68561BE3">
            <w:pPr>
              <w:spacing w:after="0" w:line="240" w:lineRule="auto"/>
              <w:jc w:val="left"/>
            </w:pPr>
          </w:p>
          <w:p w14:paraId="48C5731F">
            <w:pPr>
              <w:spacing w:after="0" w:line="240" w:lineRule="auto"/>
              <w:jc w:val="left"/>
            </w:pPr>
          </w:p>
          <w:p w14:paraId="180D92AF">
            <w:pPr>
              <w:spacing w:after="0" w:line="240" w:lineRule="auto"/>
              <w:jc w:val="left"/>
            </w:pPr>
          </w:p>
          <w:p w14:paraId="0842431D">
            <w:pPr>
              <w:spacing w:after="0" w:line="240" w:lineRule="auto"/>
              <w:jc w:val="left"/>
            </w:pPr>
          </w:p>
          <w:p w14:paraId="57AC4855">
            <w:pPr>
              <w:spacing w:after="0" w:line="240" w:lineRule="auto"/>
              <w:jc w:val="left"/>
            </w:pPr>
          </w:p>
        </w:tc>
        <w:tc>
          <w:tcPr>
            <w:tcW w:w="2221" w:type="dxa"/>
            <w:vAlign w:val="center"/>
          </w:tcPr>
          <w:p w14:paraId="199D4F94">
            <w:pPr>
              <w:spacing w:after="0" w:line="240" w:lineRule="auto"/>
              <w:jc w:val="left"/>
            </w:pPr>
            <w:r>
              <w:rPr>
                <w:rFonts w:ascii="宋体" w:hAnsi="宋体" w:eastAsia="宋体"/>
                <w:sz w:val="18"/>
              </w:rPr>
              <w:t>Q_320724GNNSH 002-2024</w:t>
            </w:r>
          </w:p>
        </w:tc>
        <w:tc>
          <w:tcPr>
            <w:tcW w:w="3116" w:type="dxa"/>
            <w:vAlign w:val="center"/>
          </w:tcPr>
          <w:p w14:paraId="4BDF5779">
            <w:pPr>
              <w:spacing w:after="0" w:line="240" w:lineRule="auto"/>
              <w:jc w:val="left"/>
            </w:pPr>
            <w:r>
              <w:rPr>
                <w:rFonts w:ascii="宋体" w:hAnsi="宋体" w:eastAsia="宋体"/>
                <w:sz w:val="18"/>
              </w:rPr>
              <w:t>江苏灌南农村商业银行接口开放平台安全管理规范</w:t>
            </w:r>
          </w:p>
        </w:tc>
        <w:tc>
          <w:tcPr>
            <w:tcW w:w="1205" w:type="dxa"/>
            <w:vAlign w:val="center"/>
          </w:tcPr>
          <w:p w14:paraId="4249880B">
            <w:pPr>
              <w:spacing w:after="0" w:line="240" w:lineRule="auto"/>
              <w:jc w:val="center"/>
            </w:pPr>
            <w:r>
              <w:rPr>
                <w:rFonts w:ascii="宋体" w:hAnsi="宋体" w:eastAsia="宋体"/>
                <w:sz w:val="18"/>
              </w:rPr>
              <w:t>是</w:t>
            </w:r>
          </w:p>
        </w:tc>
        <w:tc>
          <w:tcPr>
            <w:tcW w:w="2550" w:type="dxa"/>
            <w:vAlign w:val="center"/>
          </w:tcPr>
          <w:p w14:paraId="2533B06A">
            <w:pPr>
              <w:spacing w:after="0" w:line="240" w:lineRule="auto"/>
              <w:jc w:val="left"/>
            </w:pPr>
            <w:r>
              <w:rPr>
                <w:rFonts w:ascii="宋体" w:hAnsi="宋体" w:eastAsia="宋体"/>
                <w:sz w:val="18"/>
              </w:rPr>
              <w:t>https://www.qybz.org.cn/user/detail/c52801e1037058aa32d6a2e40de4402b6bd53430292e631481be9ab51d5f109f1667e8270e92630f8ddeed1ee4fdb693</w:t>
            </w:r>
          </w:p>
        </w:tc>
        <w:tc>
          <w:tcPr>
            <w:tcW w:w="523" w:type="dxa"/>
            <w:vAlign w:val="center"/>
          </w:tcPr>
          <w:p w14:paraId="3AF436F0">
            <w:pPr>
              <w:spacing w:after="0" w:line="240" w:lineRule="auto"/>
              <w:jc w:val="left"/>
            </w:pPr>
          </w:p>
        </w:tc>
      </w:tr>
      <w:tr w14:paraId="43EE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1BDEC4FC">
            <w:pPr>
              <w:spacing w:after="0" w:line="240" w:lineRule="auto"/>
            </w:pPr>
          </w:p>
        </w:tc>
        <w:tc>
          <w:tcPr>
            <w:tcW w:w="1350" w:type="dxa"/>
            <w:vMerge w:val="continue"/>
            <w:vAlign w:val="center"/>
          </w:tcPr>
          <w:p w14:paraId="4362ED44">
            <w:pPr>
              <w:spacing w:after="0" w:line="240" w:lineRule="auto"/>
            </w:pPr>
          </w:p>
        </w:tc>
        <w:tc>
          <w:tcPr>
            <w:tcW w:w="2221" w:type="dxa"/>
            <w:vAlign w:val="center"/>
          </w:tcPr>
          <w:p w14:paraId="5896ECC9">
            <w:pPr>
              <w:spacing w:after="0" w:line="240" w:lineRule="auto"/>
              <w:jc w:val="left"/>
            </w:pPr>
            <w:r>
              <w:rPr>
                <w:rFonts w:ascii="宋体" w:hAnsi="宋体" w:eastAsia="宋体"/>
                <w:sz w:val="18"/>
              </w:rPr>
              <w:t>JR/T 0124—2014</w:t>
            </w:r>
          </w:p>
        </w:tc>
        <w:tc>
          <w:tcPr>
            <w:tcW w:w="3116" w:type="dxa"/>
            <w:vAlign w:val="center"/>
          </w:tcPr>
          <w:p w14:paraId="15473C8F">
            <w:pPr>
              <w:spacing w:after="0" w:line="240" w:lineRule="auto"/>
              <w:jc w:val="left"/>
            </w:pPr>
            <w:r>
              <w:rPr>
                <w:rFonts w:ascii="宋体" w:hAnsi="宋体" w:eastAsia="宋体"/>
                <w:sz w:val="18"/>
              </w:rPr>
              <w:t>金融机构编码规范</w:t>
            </w:r>
          </w:p>
        </w:tc>
        <w:tc>
          <w:tcPr>
            <w:tcW w:w="1205" w:type="dxa"/>
            <w:vAlign w:val="center"/>
          </w:tcPr>
          <w:p w14:paraId="32354133">
            <w:pPr>
              <w:spacing w:after="0" w:line="240" w:lineRule="auto"/>
              <w:jc w:val="center"/>
            </w:pPr>
            <w:r>
              <w:rPr>
                <w:rFonts w:ascii="宋体" w:hAnsi="宋体" w:eastAsia="宋体"/>
                <w:sz w:val="18"/>
              </w:rPr>
              <w:t>是</w:t>
            </w:r>
          </w:p>
        </w:tc>
        <w:tc>
          <w:tcPr>
            <w:tcW w:w="2550" w:type="dxa"/>
            <w:vAlign w:val="center"/>
          </w:tcPr>
          <w:p w14:paraId="261998FB">
            <w:pPr>
              <w:spacing w:after="0" w:line="240" w:lineRule="auto"/>
            </w:pPr>
          </w:p>
        </w:tc>
        <w:tc>
          <w:tcPr>
            <w:tcW w:w="523" w:type="dxa"/>
            <w:vAlign w:val="center"/>
          </w:tcPr>
          <w:p w14:paraId="789ED305">
            <w:pPr>
              <w:spacing w:after="0" w:line="240" w:lineRule="auto"/>
              <w:jc w:val="left"/>
            </w:pPr>
          </w:p>
        </w:tc>
      </w:tr>
      <w:tr w14:paraId="7593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3FBF8714">
            <w:pPr>
              <w:spacing w:after="0" w:line="240" w:lineRule="auto"/>
            </w:pPr>
          </w:p>
        </w:tc>
        <w:tc>
          <w:tcPr>
            <w:tcW w:w="1350" w:type="dxa"/>
            <w:vMerge w:val="continue"/>
            <w:vAlign w:val="center"/>
          </w:tcPr>
          <w:p w14:paraId="09201EC4">
            <w:pPr>
              <w:spacing w:after="0" w:line="240" w:lineRule="auto"/>
            </w:pPr>
          </w:p>
        </w:tc>
        <w:tc>
          <w:tcPr>
            <w:tcW w:w="2221" w:type="dxa"/>
            <w:vAlign w:val="center"/>
          </w:tcPr>
          <w:p w14:paraId="673054B8">
            <w:pPr>
              <w:spacing w:after="0" w:line="240" w:lineRule="auto"/>
              <w:jc w:val="left"/>
            </w:pPr>
            <w:r>
              <w:rPr>
                <w:rFonts w:ascii="宋体" w:hAnsi="宋体" w:eastAsia="宋体"/>
                <w:sz w:val="18"/>
              </w:rPr>
              <w:t xml:space="preserve">GB/T 35273-2017 </w:t>
            </w:r>
          </w:p>
        </w:tc>
        <w:tc>
          <w:tcPr>
            <w:tcW w:w="3116" w:type="dxa"/>
            <w:vAlign w:val="center"/>
          </w:tcPr>
          <w:p w14:paraId="34EDF680">
            <w:pPr>
              <w:spacing w:after="0" w:line="240" w:lineRule="auto"/>
              <w:jc w:val="left"/>
            </w:pPr>
            <w:r>
              <w:rPr>
                <w:rFonts w:ascii="宋体" w:hAnsi="宋体" w:eastAsia="宋体"/>
                <w:sz w:val="18"/>
              </w:rPr>
              <w:t>信息安全技术 个人信息安全规范</w:t>
            </w:r>
          </w:p>
        </w:tc>
        <w:tc>
          <w:tcPr>
            <w:tcW w:w="1205" w:type="dxa"/>
            <w:vAlign w:val="center"/>
          </w:tcPr>
          <w:p w14:paraId="4E8CD20B">
            <w:pPr>
              <w:spacing w:after="0" w:line="240" w:lineRule="auto"/>
              <w:jc w:val="center"/>
            </w:pPr>
            <w:r>
              <w:rPr>
                <w:rFonts w:ascii="宋体" w:hAnsi="宋体" w:eastAsia="宋体"/>
                <w:sz w:val="18"/>
              </w:rPr>
              <w:t>是</w:t>
            </w:r>
          </w:p>
        </w:tc>
        <w:tc>
          <w:tcPr>
            <w:tcW w:w="2550" w:type="dxa"/>
            <w:vAlign w:val="center"/>
          </w:tcPr>
          <w:p w14:paraId="3BB6A4C3">
            <w:pPr>
              <w:spacing w:after="0" w:line="240" w:lineRule="auto"/>
            </w:pPr>
          </w:p>
        </w:tc>
        <w:tc>
          <w:tcPr>
            <w:tcW w:w="523" w:type="dxa"/>
            <w:vAlign w:val="center"/>
          </w:tcPr>
          <w:p w14:paraId="56CFDF91">
            <w:pPr>
              <w:spacing w:after="0" w:line="240" w:lineRule="auto"/>
              <w:jc w:val="left"/>
            </w:pPr>
          </w:p>
        </w:tc>
      </w:tr>
      <w:tr w14:paraId="6F43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70E18A1A">
            <w:pPr>
              <w:spacing w:after="0" w:line="240" w:lineRule="auto"/>
            </w:pPr>
          </w:p>
        </w:tc>
        <w:tc>
          <w:tcPr>
            <w:tcW w:w="1350" w:type="dxa"/>
            <w:vMerge w:val="continue"/>
            <w:vAlign w:val="center"/>
          </w:tcPr>
          <w:p w14:paraId="02B90782">
            <w:pPr>
              <w:spacing w:after="0" w:line="240" w:lineRule="auto"/>
            </w:pPr>
          </w:p>
        </w:tc>
        <w:tc>
          <w:tcPr>
            <w:tcW w:w="2221" w:type="dxa"/>
            <w:vAlign w:val="center"/>
          </w:tcPr>
          <w:p w14:paraId="5A9762FE">
            <w:pPr>
              <w:spacing w:after="0" w:line="240" w:lineRule="auto"/>
              <w:jc w:val="left"/>
            </w:pPr>
            <w:r>
              <w:rPr>
                <w:rFonts w:ascii="宋体" w:hAnsi="宋体" w:eastAsia="宋体"/>
                <w:sz w:val="18"/>
              </w:rPr>
              <w:t>JR/T 0071-2012</w:t>
            </w:r>
          </w:p>
        </w:tc>
        <w:tc>
          <w:tcPr>
            <w:tcW w:w="3116" w:type="dxa"/>
            <w:vAlign w:val="center"/>
          </w:tcPr>
          <w:p w14:paraId="4392ED79">
            <w:pPr>
              <w:spacing w:after="0" w:line="240" w:lineRule="auto"/>
              <w:jc w:val="left"/>
            </w:pPr>
            <w:r>
              <w:rPr>
                <w:rFonts w:ascii="宋体" w:hAnsi="宋体" w:eastAsia="宋体"/>
                <w:sz w:val="18"/>
              </w:rPr>
              <w:t>金融行业信息系统信息安全等级保护实施指引</w:t>
            </w:r>
          </w:p>
        </w:tc>
        <w:tc>
          <w:tcPr>
            <w:tcW w:w="1205" w:type="dxa"/>
            <w:vAlign w:val="center"/>
          </w:tcPr>
          <w:p w14:paraId="234BD285">
            <w:pPr>
              <w:spacing w:after="0" w:line="240" w:lineRule="auto"/>
              <w:jc w:val="center"/>
            </w:pPr>
            <w:r>
              <w:rPr>
                <w:rFonts w:ascii="宋体" w:hAnsi="宋体" w:eastAsia="宋体"/>
                <w:sz w:val="18"/>
              </w:rPr>
              <w:t>是</w:t>
            </w:r>
          </w:p>
        </w:tc>
        <w:tc>
          <w:tcPr>
            <w:tcW w:w="2550" w:type="dxa"/>
            <w:vAlign w:val="center"/>
          </w:tcPr>
          <w:p w14:paraId="51FA3582">
            <w:pPr>
              <w:spacing w:after="0" w:line="240" w:lineRule="auto"/>
            </w:pPr>
          </w:p>
        </w:tc>
        <w:tc>
          <w:tcPr>
            <w:tcW w:w="523" w:type="dxa"/>
            <w:vAlign w:val="center"/>
          </w:tcPr>
          <w:p w14:paraId="220350B9">
            <w:pPr>
              <w:spacing w:after="0" w:line="240" w:lineRule="auto"/>
              <w:jc w:val="left"/>
            </w:pPr>
          </w:p>
        </w:tc>
      </w:tr>
      <w:tr w14:paraId="5D4E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0C397AA8">
            <w:pPr>
              <w:spacing w:after="0" w:line="240" w:lineRule="auto"/>
            </w:pPr>
          </w:p>
        </w:tc>
        <w:tc>
          <w:tcPr>
            <w:tcW w:w="1350" w:type="dxa"/>
            <w:vMerge w:val="continue"/>
            <w:vAlign w:val="center"/>
          </w:tcPr>
          <w:p w14:paraId="712671AF">
            <w:pPr>
              <w:spacing w:after="0" w:line="240" w:lineRule="auto"/>
            </w:pPr>
          </w:p>
        </w:tc>
        <w:tc>
          <w:tcPr>
            <w:tcW w:w="2221" w:type="dxa"/>
            <w:vAlign w:val="center"/>
          </w:tcPr>
          <w:p w14:paraId="2CD23CBA">
            <w:pPr>
              <w:spacing w:after="0" w:line="240" w:lineRule="auto"/>
              <w:jc w:val="left"/>
            </w:pPr>
            <w:r>
              <w:rPr>
                <w:rFonts w:ascii="宋体" w:hAnsi="宋体" w:eastAsia="宋体"/>
                <w:sz w:val="18"/>
              </w:rPr>
              <w:t>GM/T 0002-2012</w:t>
            </w:r>
          </w:p>
        </w:tc>
        <w:tc>
          <w:tcPr>
            <w:tcW w:w="3116" w:type="dxa"/>
            <w:vAlign w:val="center"/>
          </w:tcPr>
          <w:p w14:paraId="5191777E">
            <w:pPr>
              <w:spacing w:after="0" w:line="240" w:lineRule="auto"/>
              <w:jc w:val="left"/>
            </w:pPr>
            <w:r>
              <w:rPr>
                <w:rFonts w:ascii="宋体" w:hAnsi="宋体" w:eastAsia="宋体"/>
                <w:sz w:val="18"/>
              </w:rPr>
              <w:t>SM4 分组密码算法</w:t>
            </w:r>
          </w:p>
        </w:tc>
        <w:tc>
          <w:tcPr>
            <w:tcW w:w="1205" w:type="dxa"/>
            <w:vAlign w:val="center"/>
          </w:tcPr>
          <w:p w14:paraId="094073D5">
            <w:pPr>
              <w:spacing w:after="0" w:line="240" w:lineRule="auto"/>
              <w:jc w:val="center"/>
            </w:pPr>
            <w:r>
              <w:rPr>
                <w:rFonts w:ascii="宋体" w:hAnsi="宋体" w:eastAsia="宋体"/>
                <w:sz w:val="18"/>
              </w:rPr>
              <w:t>是</w:t>
            </w:r>
          </w:p>
        </w:tc>
        <w:tc>
          <w:tcPr>
            <w:tcW w:w="2550" w:type="dxa"/>
            <w:vAlign w:val="center"/>
          </w:tcPr>
          <w:p w14:paraId="1A41AEAD">
            <w:pPr>
              <w:spacing w:after="0" w:line="240" w:lineRule="auto"/>
            </w:pPr>
          </w:p>
        </w:tc>
        <w:tc>
          <w:tcPr>
            <w:tcW w:w="523" w:type="dxa"/>
            <w:vAlign w:val="center"/>
          </w:tcPr>
          <w:p w14:paraId="3E96A3EC">
            <w:pPr>
              <w:spacing w:after="0" w:line="240" w:lineRule="auto"/>
              <w:jc w:val="left"/>
            </w:pPr>
          </w:p>
        </w:tc>
      </w:tr>
      <w:tr w14:paraId="3AC2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dxa"/>
            <w:vMerge w:val="continue"/>
            <w:vAlign w:val="center"/>
          </w:tcPr>
          <w:p w14:paraId="3216E473">
            <w:pPr>
              <w:spacing w:after="0" w:line="240" w:lineRule="auto"/>
            </w:pPr>
          </w:p>
        </w:tc>
        <w:tc>
          <w:tcPr>
            <w:tcW w:w="1350" w:type="dxa"/>
            <w:vMerge w:val="continue"/>
            <w:vAlign w:val="center"/>
          </w:tcPr>
          <w:p w14:paraId="19235128">
            <w:pPr>
              <w:spacing w:after="0" w:line="240" w:lineRule="auto"/>
            </w:pPr>
          </w:p>
        </w:tc>
        <w:tc>
          <w:tcPr>
            <w:tcW w:w="2221" w:type="dxa"/>
            <w:vAlign w:val="center"/>
          </w:tcPr>
          <w:p w14:paraId="64888FDB">
            <w:pPr>
              <w:spacing w:after="0" w:line="240" w:lineRule="auto"/>
              <w:jc w:val="left"/>
            </w:pPr>
            <w:r>
              <w:rPr>
                <w:rFonts w:ascii="宋体" w:hAnsi="宋体" w:eastAsia="宋体"/>
                <w:sz w:val="18"/>
              </w:rPr>
              <w:t>JR/T 0171—2019</w:t>
            </w:r>
          </w:p>
        </w:tc>
        <w:tc>
          <w:tcPr>
            <w:tcW w:w="3116" w:type="dxa"/>
            <w:vAlign w:val="center"/>
          </w:tcPr>
          <w:p w14:paraId="2E256274">
            <w:pPr>
              <w:spacing w:after="0" w:line="240" w:lineRule="auto"/>
              <w:jc w:val="left"/>
            </w:pPr>
            <w:r>
              <w:rPr>
                <w:rFonts w:ascii="宋体" w:hAnsi="宋体" w:eastAsia="宋体"/>
                <w:sz w:val="18"/>
              </w:rPr>
              <w:t>个人金融信息保护技术规范</w:t>
            </w:r>
          </w:p>
        </w:tc>
        <w:tc>
          <w:tcPr>
            <w:tcW w:w="1205" w:type="dxa"/>
            <w:vAlign w:val="center"/>
          </w:tcPr>
          <w:p w14:paraId="00DDCDD4">
            <w:pPr>
              <w:spacing w:after="0" w:line="240" w:lineRule="auto"/>
              <w:jc w:val="center"/>
            </w:pPr>
            <w:r>
              <w:rPr>
                <w:rFonts w:ascii="宋体" w:hAnsi="宋体" w:eastAsia="宋体"/>
                <w:sz w:val="18"/>
              </w:rPr>
              <w:t>是</w:t>
            </w:r>
          </w:p>
        </w:tc>
        <w:tc>
          <w:tcPr>
            <w:tcW w:w="2550" w:type="dxa"/>
            <w:vAlign w:val="center"/>
          </w:tcPr>
          <w:p w14:paraId="2409A708">
            <w:pPr>
              <w:spacing w:after="0" w:line="240" w:lineRule="auto"/>
            </w:pPr>
          </w:p>
        </w:tc>
        <w:tc>
          <w:tcPr>
            <w:tcW w:w="523" w:type="dxa"/>
            <w:vAlign w:val="center"/>
          </w:tcPr>
          <w:p w14:paraId="36052002">
            <w:pPr>
              <w:spacing w:after="0" w:line="240" w:lineRule="auto"/>
              <w:jc w:val="left"/>
            </w:pPr>
          </w:p>
        </w:tc>
      </w:tr>
    </w:tbl>
    <w:p w14:paraId="69A2BE98"/>
    <w:p w14:paraId="39ED07E4">
      <w:pPr>
        <w:spacing w:line="360" w:lineRule="auto"/>
      </w:pPr>
      <w:r>
        <w:rPr>
          <w:rFonts w:ascii="宋体" w:hAnsi="宋体" w:eastAsia="宋体"/>
          <w:sz w:val="21"/>
        </w:rPr>
        <w:t>填写说明：功能指标和性能指标内容仅当金融机构执行自行制定的企业标准时填写。具体如下：若为金融服务，列出企业标准的关键功能指标；若为金融产品，列出企业标准的关键功能指标和性能指标。其中，功能指标是指产品和服务功效，性能指标是指产品在一定条件下实现功能的程度。如已在企业标准信息公共服务平台公开企业标准文本，此处可填写企业标准文本链接。</w:t>
      </w:r>
    </w:p>
    <w:sectPr>
      <w:pgSz w:w="15840" w:h="12240" w:orient="landscape"/>
      <w:pgMar w:top="1797" w:right="1440" w:bottom="1797"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F4856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周磊</cp:lastModifiedBy>
  <dcterms:modified xsi:type="dcterms:W3CDTF">2026-08-27T09:42:03Z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56F4224275244923A0291B03B6E12F0A_12</vt:lpwstr>
  </property>
</Properties>
</file>