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pageBreakBefore w:val="0"/>
        <w:kinsoku/>
        <w:wordWrap/>
        <w:overflowPunct/>
        <w:topLinePunct w:val="0"/>
        <w:autoSpaceDE w:val="0"/>
        <w:autoSpaceDN w:val="0"/>
        <w:bidi w:val="0"/>
        <w:adjustRightInd w:val="0"/>
        <w:snapToGrid w:val="0"/>
        <w:spacing w:line="560" w:lineRule="exact"/>
        <w:jc w:val="center"/>
        <w:textAlignment w:val="auto"/>
        <w:rPr>
          <w:rFonts w:ascii="黑体" w:eastAsia="黑体"/>
          <w:bCs/>
          <w:sz w:val="44"/>
          <w:szCs w:val="44"/>
          <w:lang w:eastAsia="zh-CN"/>
        </w:rPr>
      </w:pPr>
      <w:r>
        <w:rPr>
          <w:rFonts w:hint="eastAsia" w:ascii="黑体" w:eastAsia="黑体"/>
          <w:bCs/>
          <w:spacing w:val="6"/>
          <w:sz w:val="44"/>
          <w:szCs w:val="44"/>
          <w:lang w:eastAsia="zh-CN"/>
        </w:rPr>
        <w:t>灌南农商银行与</w:t>
      </w:r>
      <w:r>
        <w:rPr>
          <w:rFonts w:hint="eastAsia" w:ascii="黑体" w:eastAsia="黑体"/>
          <w:color w:val="191919"/>
          <w:spacing w:val="-4"/>
          <w:sz w:val="44"/>
          <w:szCs w:val="44"/>
          <w:lang w:eastAsia="zh-CN"/>
        </w:rPr>
        <w:t>连云港硕项湖水务集团有限公司开展</w:t>
      </w:r>
      <w:r>
        <w:rPr>
          <w:rFonts w:hint="eastAsia" w:ascii="黑体" w:eastAsia="黑体"/>
          <w:bCs/>
          <w:spacing w:val="6"/>
          <w:sz w:val="44"/>
          <w:szCs w:val="44"/>
          <w:lang w:eastAsia="zh-CN"/>
        </w:rPr>
        <w:t>重大关联交易的</w:t>
      </w:r>
      <w:r>
        <w:rPr>
          <w:rFonts w:hint="eastAsia" w:ascii="黑体" w:eastAsia="黑体"/>
          <w:bCs/>
          <w:sz w:val="44"/>
          <w:szCs w:val="44"/>
          <w:lang w:eastAsia="zh-CN"/>
        </w:rPr>
        <w:t>报告</w:t>
      </w:r>
    </w:p>
    <w:p>
      <w:pPr>
        <w:pStyle w:val="2"/>
        <w:keepNext w:val="0"/>
        <w:keepLines/>
        <w:pageBreakBefore w:val="0"/>
        <w:kinsoku/>
        <w:wordWrap/>
        <w:overflowPunct/>
        <w:topLinePunct w:val="0"/>
        <w:autoSpaceDE w:val="0"/>
        <w:autoSpaceDN w:val="0"/>
        <w:bidi w:val="0"/>
        <w:adjustRightInd w:val="0"/>
        <w:snapToGrid w:val="0"/>
        <w:spacing w:line="560" w:lineRule="exact"/>
        <w:ind w:left="29" w:leftChars="14" w:firstLine="703" w:firstLineChars="200"/>
        <w:jc w:val="both"/>
        <w:textAlignment w:val="auto"/>
        <w:rPr>
          <w:b/>
          <w:bCs/>
          <w:sz w:val="35"/>
          <w:szCs w:val="35"/>
          <w:lang w:eastAsia="zh-CN"/>
        </w:rPr>
      </w:pPr>
    </w:p>
    <w:p>
      <w:pPr>
        <w:pStyle w:val="2"/>
        <w:keepNext w:val="0"/>
        <w:keepLines/>
        <w:pageBreakBefore w:val="0"/>
        <w:kinsoku/>
        <w:wordWrap/>
        <w:overflowPunct/>
        <w:topLinePunct w:val="0"/>
        <w:autoSpaceDE w:val="0"/>
        <w:autoSpaceDN w:val="0"/>
        <w:bidi w:val="0"/>
        <w:adjustRightInd w:val="0"/>
        <w:snapToGrid w:val="0"/>
        <w:spacing w:line="560" w:lineRule="exact"/>
        <w:ind w:left="27" w:leftChars="13" w:right="81" w:firstLine="624" w:firstLineChars="200"/>
        <w:jc w:val="both"/>
        <w:textAlignment w:val="auto"/>
        <w:rPr>
          <w:rFonts w:ascii="仿宋_GB2312" w:eastAsia="仿宋_GB2312"/>
          <w:sz w:val="32"/>
          <w:szCs w:val="32"/>
          <w:lang w:eastAsia="zh-CN"/>
        </w:rPr>
      </w:pPr>
      <w:r>
        <w:rPr>
          <w:rFonts w:hint="eastAsia" w:ascii="仿宋_GB2312" w:eastAsia="仿宋_GB2312"/>
          <w:color w:val="191919"/>
          <w:spacing w:val="-4"/>
          <w:sz w:val="32"/>
          <w:szCs w:val="32"/>
          <w:lang w:eastAsia="zh-CN"/>
        </w:rPr>
        <w:t>连云港硕项湖水务集团有限公司近期与江苏灌南农村商业银行股份有限公司（以下统称“本行”）开展重大</w:t>
      </w:r>
      <w:r>
        <w:rPr>
          <w:rFonts w:hint="eastAsia" w:ascii="仿宋_GB2312" w:eastAsia="仿宋_GB2312"/>
          <w:color w:val="191919"/>
          <w:spacing w:val="-2"/>
          <w:sz w:val="32"/>
          <w:szCs w:val="32"/>
          <w:lang w:eastAsia="zh-CN"/>
        </w:rPr>
        <w:t>关联交易，现将有关情况报告如下：</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31" w:firstLineChars="200"/>
        <w:jc w:val="both"/>
        <w:textAlignment w:val="auto"/>
        <w:outlineLvl w:val="0"/>
        <w:rPr>
          <w:rFonts w:ascii="仿宋_GB2312" w:hAnsi="黑体" w:eastAsia="仿宋_GB2312" w:cs="黑体"/>
          <w:sz w:val="32"/>
          <w:szCs w:val="32"/>
          <w:lang w:eastAsia="zh-CN"/>
        </w:rPr>
      </w:pPr>
      <w:r>
        <w:rPr>
          <w:rFonts w:hint="eastAsia" w:ascii="仿宋_GB2312" w:hAnsi="黑体" w:eastAsia="仿宋_GB2312" w:cs="黑体"/>
          <w:b/>
          <w:bCs/>
          <w:color w:val="191919"/>
          <w:spacing w:val="-3"/>
          <w:sz w:val="32"/>
          <w:szCs w:val="32"/>
          <w:lang w:eastAsia="zh-CN"/>
        </w:rPr>
        <w:t>一、关联交易概述及交易标的情况</w:t>
      </w:r>
    </w:p>
    <w:p>
      <w:pPr>
        <w:pStyle w:val="2"/>
        <w:keepNext w:val="0"/>
        <w:keepLines/>
        <w:pageBreakBefore w:val="0"/>
        <w:kinsoku/>
        <w:wordWrap/>
        <w:overflowPunct/>
        <w:topLinePunct w:val="0"/>
        <w:autoSpaceDE w:val="0"/>
        <w:autoSpaceDN w:val="0"/>
        <w:bidi w:val="0"/>
        <w:adjustRightInd w:val="0"/>
        <w:snapToGrid w:val="0"/>
        <w:spacing w:line="560" w:lineRule="exact"/>
        <w:ind w:left="27" w:right="81" w:firstLine="627" w:firstLineChars="200"/>
        <w:jc w:val="both"/>
        <w:textAlignment w:val="auto"/>
        <w:rPr>
          <w:rFonts w:ascii="楷体_GB2312" w:hAnsi="楷体" w:eastAsia="楷体_GB2312" w:cs="楷体"/>
          <w:b/>
          <w:color w:val="191919"/>
          <w:spacing w:val="-4"/>
          <w:sz w:val="32"/>
          <w:szCs w:val="32"/>
          <w:lang w:eastAsia="zh-CN"/>
        </w:rPr>
      </w:pPr>
      <w:r>
        <w:rPr>
          <w:rFonts w:hint="eastAsia" w:ascii="楷体_GB2312" w:hAnsi="楷体" w:eastAsia="楷体_GB2312" w:cs="楷体"/>
          <w:b/>
          <w:color w:val="191919"/>
          <w:spacing w:val="-4"/>
          <w:sz w:val="32"/>
          <w:szCs w:val="32"/>
          <w:lang w:eastAsia="zh-CN"/>
        </w:rPr>
        <w:t>（一）关联关系情况</w:t>
      </w:r>
    </w:p>
    <w:p>
      <w:pPr>
        <w:pStyle w:val="2"/>
        <w:keepNext w:val="0"/>
        <w:keepLines/>
        <w:pageBreakBefore w:val="0"/>
        <w:kinsoku/>
        <w:wordWrap/>
        <w:overflowPunct/>
        <w:topLinePunct w:val="0"/>
        <w:autoSpaceDE w:val="0"/>
        <w:autoSpaceDN w:val="0"/>
        <w:bidi w:val="0"/>
        <w:adjustRightInd w:val="0"/>
        <w:snapToGrid w:val="0"/>
        <w:spacing w:line="560" w:lineRule="exact"/>
        <w:ind w:left="27" w:leftChars="13" w:right="81" w:firstLine="624" w:firstLineChars="200"/>
        <w:jc w:val="both"/>
        <w:textAlignment w:val="auto"/>
        <w:rPr>
          <w:rFonts w:ascii="仿宋_GB2312" w:hAnsi="楷体" w:eastAsia="仿宋_GB2312" w:cs="楷体"/>
          <w:color w:val="191919"/>
          <w:spacing w:val="-4"/>
          <w:sz w:val="32"/>
          <w:szCs w:val="32"/>
          <w:lang w:eastAsia="zh-CN"/>
        </w:rPr>
      </w:pPr>
      <w:r>
        <w:rPr>
          <w:rFonts w:hint="eastAsia" w:ascii="仿宋_GB2312" w:eastAsia="仿宋_GB2312"/>
          <w:color w:val="191919"/>
          <w:spacing w:val="-4"/>
          <w:sz w:val="32"/>
          <w:szCs w:val="32"/>
          <w:lang w:eastAsia="zh-CN"/>
        </w:rPr>
        <w:t>连云港硕项湖水务集团有限公司为江苏金灌投资发展集团有限公司下属全额控股子公司，江苏金灌投资发展集团有限公司为本行股东，持股4.93%，通过江苏灌河投资发展有限公司持股4.75%，合计持股9.68%。因此，连云港硕项湖水务集团有限公司纳入本行关联方管理。</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8" w:right="79" w:firstLine="627" w:firstLineChars="200"/>
        <w:jc w:val="both"/>
        <w:textAlignment w:val="auto"/>
        <w:rPr>
          <w:rFonts w:hint="eastAsia" w:ascii="楷体_GB2312" w:hAnsi="楷体" w:eastAsia="楷体_GB2312" w:cs="楷体"/>
          <w:b/>
          <w:color w:val="191919"/>
          <w:spacing w:val="-4"/>
          <w:sz w:val="32"/>
          <w:szCs w:val="32"/>
          <w:lang w:eastAsia="zh-CN"/>
        </w:rPr>
      </w:pPr>
      <w:r>
        <w:rPr>
          <w:rFonts w:hint="eastAsia" w:ascii="楷体_GB2312" w:hAnsi="楷体" w:eastAsia="楷体_GB2312" w:cs="楷体"/>
          <w:b/>
          <w:color w:val="191919"/>
          <w:spacing w:val="-4"/>
          <w:sz w:val="32"/>
          <w:szCs w:val="32"/>
          <w:lang w:eastAsia="zh-CN"/>
        </w:rPr>
        <w:t>（二）关联交易概述</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4"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eastAsia="仿宋_GB2312"/>
          <w:color w:val="191919"/>
          <w:spacing w:val="-4"/>
          <w:sz w:val="32"/>
          <w:szCs w:val="32"/>
          <w:lang w:eastAsia="zh-CN"/>
        </w:rPr>
        <w:t>近期，连云港硕项湖</w:t>
      </w:r>
      <w:r>
        <w:rPr>
          <w:rFonts w:hint="eastAsia" w:ascii="仿宋_GB2312" w:eastAsia="仿宋_GB2312"/>
          <w:color w:val="191919"/>
          <w:sz w:val="32"/>
          <w:szCs w:val="32"/>
          <w:lang w:eastAsia="zh-CN"/>
        </w:rPr>
        <w:t>水务集团有限公司向本行申请集团授信1</w:t>
      </w:r>
      <w:r>
        <w:rPr>
          <w:rFonts w:hint="eastAsia" w:ascii="仿宋_GB2312" w:eastAsia="仿宋_GB2312"/>
          <w:color w:val="191919"/>
          <w:sz w:val="32"/>
          <w:szCs w:val="32"/>
          <w:lang w:val="en-US" w:eastAsia="zh-CN"/>
        </w:rPr>
        <w:t>6700</w:t>
      </w:r>
      <w:r>
        <w:rPr>
          <w:rFonts w:hint="eastAsia" w:ascii="仿宋_GB2312" w:eastAsia="仿宋_GB2312"/>
          <w:color w:val="191919"/>
          <w:sz w:val="32"/>
          <w:szCs w:val="32"/>
          <w:lang w:eastAsia="zh-CN"/>
        </w:rPr>
        <w:t>万元</w:t>
      </w:r>
      <w:r>
        <w:rPr>
          <w:rFonts w:hint="eastAsia" w:ascii="仿宋_GB2312" w:eastAsia="仿宋_GB2312"/>
          <w:color w:val="191919"/>
          <w:spacing w:val="-3"/>
          <w:sz w:val="32"/>
          <w:szCs w:val="32"/>
          <w:lang w:eastAsia="zh-CN"/>
        </w:rPr>
        <w:t>，集团授信期限</w:t>
      </w:r>
      <w:r>
        <w:rPr>
          <w:rFonts w:hint="eastAsia" w:ascii="仿宋_GB2312" w:eastAsia="仿宋_GB2312"/>
          <w:color w:val="191919"/>
          <w:spacing w:val="-3"/>
          <w:sz w:val="32"/>
          <w:szCs w:val="32"/>
          <w:lang w:val="en-US" w:eastAsia="zh-CN"/>
        </w:rPr>
        <w:t>10</w:t>
      </w:r>
      <w:r>
        <w:rPr>
          <w:rFonts w:hint="eastAsia" w:ascii="仿宋_GB2312" w:eastAsia="仿宋_GB2312"/>
          <w:color w:val="191919"/>
          <w:spacing w:val="-3"/>
          <w:sz w:val="32"/>
          <w:szCs w:val="32"/>
          <w:lang w:eastAsia="zh-CN"/>
        </w:rPr>
        <w:t>年，其中下属</w:t>
      </w:r>
      <w:r>
        <w:rPr>
          <w:rFonts w:hint="eastAsia" w:ascii="仿宋_GB2312" w:eastAsia="仿宋_GB2312"/>
          <w:color w:val="191919"/>
          <w:spacing w:val="-3"/>
          <w:sz w:val="32"/>
          <w:szCs w:val="32"/>
          <w:lang w:val="en-US" w:eastAsia="zh-CN"/>
        </w:rPr>
        <w:t>灌南县畅达市政工程建设有限公司已占用授信3000万元，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灌南县自来水有限公司已占用授信3000万元，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灌南县硕项湖纯净水有限公司已占用授信2000万元，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灌南县硕项湖酒店有限公司已占用授信2000万元，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灌南县田楼自来水有限公司已占用授信2000万元，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连云港尚坤绿色投资发展有限公司已占用授信2700万元，</w:t>
      </w:r>
      <w:r>
        <w:rPr>
          <w:rFonts w:hint="eastAsia" w:ascii="仿宋_GB2312" w:eastAsia="仿宋_GB2312"/>
          <w:color w:val="191919"/>
          <w:spacing w:val="-3"/>
          <w:sz w:val="32"/>
          <w:szCs w:val="32"/>
          <w:lang w:eastAsia="zh-CN"/>
        </w:rPr>
        <w:t>下属</w:t>
      </w:r>
      <w:r>
        <w:rPr>
          <w:rFonts w:hint="eastAsia" w:ascii="仿宋_GB2312" w:eastAsia="仿宋_GB2312"/>
          <w:color w:val="191919"/>
          <w:spacing w:val="-3"/>
          <w:sz w:val="32"/>
          <w:szCs w:val="32"/>
          <w:lang w:val="en-US" w:eastAsia="zh-CN"/>
        </w:rPr>
        <w:t>灌南县硕项湖自来水有限公司新增授信2000万元。</w:t>
      </w:r>
      <w:r>
        <w:rPr>
          <w:rFonts w:hint="eastAsia" w:ascii="仿宋_GB2312" w:hAnsi="宋体" w:eastAsia="仿宋_GB2312" w:cs="宋体"/>
          <w:color w:val="191919"/>
          <w:spacing w:val="-3"/>
          <w:sz w:val="32"/>
          <w:szCs w:val="32"/>
          <w:lang w:val="en-US" w:eastAsia="zh-CN"/>
        </w:rPr>
        <w:t>本行以授信合同签订总金额作为重大关联交易判定标准，以下逐户说明对应授信合同核心要素：</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1.灌南县自来水有限公司，授信合同编号：BC074202403130006604，合同签约日期2024年3月15日，总签约金额3000万元，授信期限3年，担保方式为公司保证（灌南五龙口水务投资有限公司担保），执行年利率4.5%。</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2.灌南县畅达市政工程建设有限公司，授信合同编号：BC074202406110008404，合同签约日期2024年6月11日，总签约金额3000万元，授信期限5年，担保方式为公司保证（集团母公司连云港硕项湖水务集团有限公司担保），执行年利率3.9%。</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3.灌南县田楼自来水有限公司，授信合同编号：BC074202506060000301，合同签约日期2025年6月6日，总签约金额2000万元，授信期限5年，担保方式为公司保证（集团母公司连云港硕项湖水务集团有限公司担保），执行年利率3.9%。</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4.灌南县硕项湖纯净水有限公司，授信合同编号：BC074202406280001507，合同签约日期2025年6月27日，总签约金额2000万元，授信期限5年，担保方式为公司保证（集团母公司连云港硕项湖水务集团有限公司担保），执行年利率4.9%。</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5.灌南县硕项湖酒店有限公司，授信合同编号：BC074202406280001508，合同签约日期2025年6月27日，总签约金额2000万元，授信期限5年，担保方式为公司保证（集团母公司连云港硕项湖水务集团有限公司担保），执行年利率4.9%。</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仿宋_GB2312" w:hAnsi="宋体" w:eastAsia="仿宋_GB2312" w:cs="宋体"/>
          <w:color w:val="191919"/>
          <w:spacing w:val="-3"/>
          <w:sz w:val="32"/>
          <w:szCs w:val="32"/>
          <w:lang w:val="en-US" w:eastAsia="zh-CN"/>
        </w:rPr>
      </w:pPr>
      <w:r>
        <w:rPr>
          <w:rFonts w:hint="eastAsia" w:ascii="仿宋_GB2312" w:hAnsi="宋体" w:eastAsia="仿宋_GB2312" w:cs="宋体"/>
          <w:color w:val="191919"/>
          <w:spacing w:val="-3"/>
          <w:sz w:val="32"/>
          <w:szCs w:val="32"/>
          <w:lang w:val="en-US" w:eastAsia="zh-CN"/>
        </w:rPr>
        <w:t>6.连云港尚坤绿色投资发展有限公司，授信合同编号：BC074202506260000302，合同签约日期2025年6月27日，总签约金额2700万元，授信期限10年，担保方式为公司保证（江苏国润产业投资控股集团有限公司与集团母公司连云港硕项湖水务集团有限公司担保），执行年利率4%。</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hint="eastAsia" w:ascii="楷体_GB2312" w:hAnsi="楷体" w:eastAsia="楷体_GB2312" w:cs="楷体"/>
          <w:b/>
          <w:color w:val="191919"/>
          <w:spacing w:val="-4"/>
          <w:sz w:val="32"/>
          <w:szCs w:val="32"/>
          <w:lang w:eastAsia="zh-CN"/>
        </w:rPr>
      </w:pPr>
      <w:r>
        <w:rPr>
          <w:rFonts w:hint="eastAsia" w:ascii="仿宋_GB2312" w:hAnsi="宋体" w:eastAsia="仿宋_GB2312" w:cs="宋体"/>
          <w:color w:val="191919"/>
          <w:spacing w:val="-3"/>
          <w:sz w:val="32"/>
          <w:szCs w:val="32"/>
          <w:lang w:val="en-US" w:eastAsia="zh-CN"/>
        </w:rPr>
        <w:t>7.灌南县硕项湖自来水有限公司，授信合同编号：BC074202606180000901，合同签约日期2026年6月22日，总签约金额2000万元，授信期限5年，担保方式为公司保证（集团母公司连云港硕项湖水务集团有限公司担保），执行年利率3.5%。</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79" w:firstLine="628" w:firstLineChars="200"/>
        <w:jc w:val="both"/>
        <w:textAlignment w:val="auto"/>
        <w:rPr>
          <w:rFonts w:ascii="仿宋_GB2312" w:eastAsia="仿宋_GB2312"/>
          <w:sz w:val="32"/>
          <w:szCs w:val="32"/>
          <w:lang w:eastAsia="zh-CN"/>
        </w:rPr>
      </w:pPr>
      <w:r>
        <w:rPr>
          <w:rFonts w:hint="eastAsia" w:ascii="仿宋_GB2312" w:eastAsia="仿宋_GB2312"/>
          <w:color w:val="191919"/>
          <w:spacing w:val="-3"/>
          <w:sz w:val="32"/>
          <w:szCs w:val="32"/>
          <w:lang w:eastAsia="zh-CN"/>
        </w:rPr>
        <w:t>本行第四届董事会风险管理与关联交易控制委员会第三次会议审议</w:t>
      </w:r>
      <w:r>
        <w:rPr>
          <w:rFonts w:hint="eastAsia" w:ascii="仿宋_GB2312" w:eastAsia="仿宋_GB2312"/>
          <w:color w:val="191919"/>
          <w:spacing w:val="-1"/>
          <w:sz w:val="32"/>
          <w:szCs w:val="32"/>
          <w:lang w:eastAsia="zh-CN"/>
        </w:rPr>
        <w:t>通过</w:t>
      </w:r>
      <w:r>
        <w:rPr>
          <w:rFonts w:hint="eastAsia" w:ascii="仿宋_GB2312" w:eastAsia="仿宋_GB2312"/>
          <w:color w:val="191919"/>
          <w:spacing w:val="-3"/>
          <w:sz w:val="32"/>
          <w:szCs w:val="32"/>
          <w:lang w:eastAsia="zh-CN"/>
        </w:rPr>
        <w:t>了《灌南农商行关于连云港硕项湖水务集团有限公司授信16700万元的议案》，同意给予连云港硕项湖水务集团有限公司</w:t>
      </w:r>
      <w:r>
        <w:rPr>
          <w:rFonts w:hint="eastAsia" w:ascii="仿宋_GB2312" w:eastAsia="仿宋_GB2312"/>
          <w:color w:val="191919"/>
          <w:spacing w:val="-1"/>
          <w:sz w:val="32"/>
          <w:szCs w:val="32"/>
          <w:lang w:eastAsia="zh-CN"/>
        </w:rPr>
        <w:t>授信类关联交易1</w:t>
      </w:r>
      <w:r>
        <w:rPr>
          <w:rFonts w:hint="eastAsia" w:ascii="仿宋_GB2312" w:eastAsia="仿宋_GB2312"/>
          <w:color w:val="191919"/>
          <w:spacing w:val="-1"/>
          <w:sz w:val="32"/>
          <w:szCs w:val="32"/>
          <w:lang w:val="en-US" w:eastAsia="zh-CN"/>
        </w:rPr>
        <w:t>6700</w:t>
      </w:r>
      <w:r>
        <w:rPr>
          <w:rFonts w:hint="eastAsia" w:ascii="仿宋_GB2312" w:eastAsia="仿宋_GB2312"/>
          <w:color w:val="191919"/>
          <w:spacing w:val="-1"/>
          <w:sz w:val="32"/>
          <w:szCs w:val="32"/>
          <w:lang w:eastAsia="zh-CN"/>
        </w:rPr>
        <w:t>万元。</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8" w:right="79" w:firstLine="627" w:firstLineChars="200"/>
        <w:jc w:val="both"/>
        <w:textAlignment w:val="auto"/>
        <w:rPr>
          <w:rFonts w:hint="eastAsia" w:ascii="楷体_GB2312" w:hAnsi="楷体" w:eastAsia="楷体_GB2312" w:cs="楷体"/>
          <w:b/>
          <w:color w:val="191919"/>
          <w:spacing w:val="-4"/>
          <w:sz w:val="32"/>
          <w:szCs w:val="32"/>
          <w:lang w:eastAsia="zh-CN"/>
        </w:rPr>
      </w:pPr>
      <w:r>
        <w:rPr>
          <w:rFonts w:hint="eastAsia" w:ascii="楷体_GB2312" w:hAnsi="楷体" w:eastAsia="楷体_GB2312" w:cs="楷体"/>
          <w:b/>
          <w:color w:val="191919"/>
          <w:spacing w:val="-4"/>
          <w:sz w:val="32"/>
          <w:szCs w:val="32"/>
          <w:lang w:eastAsia="zh-CN"/>
        </w:rPr>
        <w:t>（三）交易标的基本情况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8" w:right="79" w:firstLine="600" w:firstLineChars="200"/>
        <w:jc w:val="both"/>
        <w:textAlignment w:val="auto"/>
        <w:rPr>
          <w:rFonts w:ascii="仿宋_GB2312" w:eastAsia="仿宋_GB2312"/>
          <w:sz w:val="32"/>
          <w:szCs w:val="32"/>
          <w:lang w:eastAsia="zh-CN"/>
        </w:rPr>
      </w:pPr>
      <w:r>
        <w:rPr>
          <w:rFonts w:hint="eastAsia" w:ascii="仿宋_GB2312" w:eastAsia="仿宋_GB2312"/>
          <w:color w:val="auto"/>
          <w:spacing w:val="-10"/>
          <w:sz w:val="32"/>
          <w:szCs w:val="32"/>
          <w:highlight w:val="none"/>
          <w:lang w:eastAsia="zh-CN"/>
        </w:rPr>
        <w:t>202</w:t>
      </w:r>
      <w:r>
        <w:rPr>
          <w:rFonts w:hint="eastAsia" w:ascii="仿宋_GB2312" w:eastAsia="仿宋_GB2312"/>
          <w:color w:val="auto"/>
          <w:spacing w:val="-10"/>
          <w:sz w:val="32"/>
          <w:szCs w:val="32"/>
          <w:highlight w:val="none"/>
          <w:lang w:val="en-US" w:eastAsia="zh-CN"/>
        </w:rPr>
        <w:t>6</w:t>
      </w:r>
      <w:r>
        <w:rPr>
          <w:rFonts w:hint="eastAsia" w:ascii="仿宋_GB2312" w:eastAsia="仿宋_GB2312"/>
          <w:color w:val="auto"/>
          <w:spacing w:val="-10"/>
          <w:sz w:val="32"/>
          <w:szCs w:val="32"/>
          <w:highlight w:val="none"/>
          <w:lang w:eastAsia="zh-CN"/>
        </w:rPr>
        <w:t>年6月</w:t>
      </w:r>
      <w:r>
        <w:rPr>
          <w:rFonts w:hint="eastAsia" w:ascii="仿宋_GB2312" w:eastAsia="仿宋_GB2312"/>
          <w:color w:val="auto"/>
          <w:spacing w:val="-10"/>
          <w:sz w:val="32"/>
          <w:szCs w:val="32"/>
          <w:highlight w:val="none"/>
          <w:lang w:val="en-US" w:eastAsia="zh-CN"/>
        </w:rPr>
        <w:t>22</w:t>
      </w:r>
      <w:r>
        <w:rPr>
          <w:rFonts w:hint="eastAsia" w:ascii="仿宋_GB2312" w:eastAsia="仿宋_GB2312"/>
          <w:color w:val="auto"/>
          <w:spacing w:val="-10"/>
          <w:sz w:val="32"/>
          <w:szCs w:val="32"/>
          <w:highlight w:val="none"/>
          <w:lang w:eastAsia="zh-CN"/>
        </w:rPr>
        <w:t>日</w:t>
      </w:r>
      <w:r>
        <w:rPr>
          <w:rFonts w:hint="eastAsia" w:ascii="仿宋_GB2312" w:eastAsia="仿宋_GB2312"/>
          <w:color w:val="191919"/>
          <w:spacing w:val="-10"/>
          <w:sz w:val="32"/>
          <w:szCs w:val="32"/>
          <w:lang w:eastAsia="zh-CN"/>
        </w:rPr>
        <w:t>，</w:t>
      </w:r>
      <w:r>
        <w:rPr>
          <w:rFonts w:hint="eastAsia" w:ascii="仿宋_GB2312" w:eastAsia="仿宋_GB2312"/>
          <w:color w:val="191919"/>
          <w:spacing w:val="-3"/>
          <w:sz w:val="32"/>
          <w:szCs w:val="32"/>
          <w:lang w:eastAsia="zh-CN"/>
        </w:rPr>
        <w:t>连云港硕项湖水务集团有限公司合计开展授信</w:t>
      </w:r>
      <w:r>
        <w:rPr>
          <w:rFonts w:hint="eastAsia" w:ascii="仿宋_GB2312" w:eastAsia="仿宋_GB2312"/>
          <w:color w:val="191919"/>
          <w:spacing w:val="-3"/>
          <w:sz w:val="32"/>
          <w:szCs w:val="32"/>
          <w:lang w:val="en-US" w:eastAsia="zh-CN"/>
        </w:rPr>
        <w:t>16700</w:t>
      </w:r>
      <w:r>
        <w:rPr>
          <w:rFonts w:hint="eastAsia" w:ascii="仿宋_GB2312" w:eastAsia="仿宋_GB2312"/>
          <w:color w:val="191919"/>
          <w:spacing w:val="-10"/>
          <w:sz w:val="32"/>
          <w:szCs w:val="32"/>
          <w:lang w:eastAsia="zh-CN"/>
        </w:rPr>
        <w:t>万元，</w:t>
      </w:r>
      <w:r>
        <w:rPr>
          <w:rFonts w:hint="eastAsia" w:ascii="仿宋_GB2312" w:eastAsia="仿宋_GB2312"/>
          <w:color w:val="191919"/>
          <w:spacing w:val="-4"/>
          <w:sz w:val="32"/>
          <w:szCs w:val="32"/>
          <w:lang w:eastAsia="zh-CN"/>
        </w:rPr>
        <w:t>达到本行202</w:t>
      </w:r>
      <w:r>
        <w:rPr>
          <w:rFonts w:hint="eastAsia" w:ascii="仿宋_GB2312" w:eastAsia="仿宋_GB2312"/>
          <w:color w:val="191919"/>
          <w:spacing w:val="-4"/>
          <w:sz w:val="32"/>
          <w:szCs w:val="32"/>
          <w:lang w:val="en-US" w:eastAsia="zh-CN"/>
        </w:rPr>
        <w:t>6</w:t>
      </w:r>
      <w:r>
        <w:rPr>
          <w:rFonts w:hint="eastAsia" w:ascii="仿宋_GB2312" w:eastAsia="仿宋_GB2312"/>
          <w:color w:val="191919"/>
          <w:spacing w:val="-4"/>
          <w:sz w:val="32"/>
          <w:szCs w:val="32"/>
          <w:lang w:eastAsia="zh-CN"/>
        </w:rPr>
        <w:t>年一季度末资本净额（118163.87万元，下同）</w:t>
      </w:r>
      <w:r>
        <w:rPr>
          <w:rFonts w:hint="eastAsia" w:ascii="仿宋_GB2312" w:eastAsia="仿宋_GB2312"/>
          <w:color w:val="191919"/>
          <w:spacing w:val="-3"/>
          <w:sz w:val="32"/>
          <w:szCs w:val="32"/>
          <w:lang w:eastAsia="zh-CN"/>
        </w:rPr>
        <w:t>的</w:t>
      </w:r>
      <w:r>
        <w:rPr>
          <w:rFonts w:hint="eastAsia" w:ascii="仿宋_GB2312" w:eastAsia="仿宋_GB2312"/>
          <w:color w:val="191919"/>
          <w:spacing w:val="-3"/>
          <w:sz w:val="32"/>
          <w:szCs w:val="32"/>
          <w:lang w:val="en-US" w:eastAsia="zh-CN"/>
        </w:rPr>
        <w:t>14.13</w:t>
      </w:r>
      <w:r>
        <w:rPr>
          <w:rFonts w:hint="eastAsia" w:ascii="仿宋_GB2312" w:eastAsia="仿宋_GB2312"/>
          <w:color w:val="191919"/>
          <w:spacing w:val="-3"/>
          <w:sz w:val="32"/>
          <w:szCs w:val="32"/>
          <w:lang w:eastAsia="zh-CN"/>
        </w:rPr>
        <w:t>%。本次授信类关联交易的类型为贷款，担保方式保证，用信期限为一年，用途为经营周转。根据本行《关联交</w:t>
      </w:r>
      <w:r>
        <w:rPr>
          <w:rFonts w:hint="eastAsia" w:ascii="仿宋_GB2312" w:eastAsia="仿宋_GB2312"/>
          <w:color w:val="191919"/>
          <w:spacing w:val="-10"/>
          <w:sz w:val="32"/>
          <w:szCs w:val="32"/>
          <w:lang w:eastAsia="zh-CN"/>
        </w:rPr>
        <w:t>易管理办法》有关认定标准，该关联交易属于重大关联交易。</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3" w:leftChars="11" w:firstLine="627" w:firstLineChars="200"/>
        <w:jc w:val="both"/>
        <w:textAlignment w:val="auto"/>
        <w:rPr>
          <w:rFonts w:hint="eastAsia" w:ascii="仿宋_GB2312" w:eastAsia="仿宋_GB2312"/>
          <w:b/>
          <w:bCs/>
          <w:color w:val="191919"/>
          <w:spacing w:val="-4"/>
          <w:sz w:val="32"/>
          <w:szCs w:val="32"/>
          <w:lang w:eastAsia="zh-CN"/>
        </w:rPr>
      </w:pPr>
      <w:r>
        <w:rPr>
          <w:rFonts w:hint="eastAsia" w:ascii="仿宋_GB2312" w:eastAsia="仿宋_GB2312"/>
          <w:b/>
          <w:bCs/>
          <w:color w:val="191919"/>
          <w:spacing w:val="-4"/>
          <w:sz w:val="32"/>
          <w:szCs w:val="32"/>
          <w:lang w:eastAsia="zh-CN"/>
        </w:rPr>
        <w:t>二、交易对手情况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3" w:leftChars="11" w:firstLine="636" w:firstLineChars="200"/>
        <w:jc w:val="both"/>
        <w:textAlignment w:val="auto"/>
        <w:rPr>
          <w:rFonts w:hint="eastAsia" w:ascii="仿宋_GB2312" w:eastAsia="仿宋_GB2312"/>
          <w:color w:val="191919"/>
          <w:spacing w:val="-1"/>
          <w:sz w:val="32"/>
          <w:szCs w:val="32"/>
          <w:lang w:eastAsia="zh-CN"/>
        </w:rPr>
      </w:pPr>
      <w:r>
        <w:rPr>
          <w:rFonts w:hint="eastAsia" w:ascii="仿宋_GB2312" w:eastAsia="仿宋_GB2312"/>
          <w:color w:val="191919"/>
          <w:spacing w:val="-1"/>
          <w:sz w:val="32"/>
          <w:szCs w:val="32"/>
          <w:lang w:eastAsia="zh-CN"/>
        </w:rPr>
        <w:t>连云港硕项湖水务集团有限公司，成立时间2012年11月，刚成立时企业名称为连云港硕项湖实业有限公司，于2014年8月26日变更为连云港硕项湖水务有限公司，2014年10月15日变更为连云港硕项湖水务集团有限公司，为非自然人投资或控股的法人独资性质的有限责任公司，统一社会信用代码为9132072405660708XG。法定代表人原为纪长征，后于2024年4月7日变更为周建军，注册地址为灌南县新安镇苏州南路（渔场新村西侧）。公司原出资方为灌南县人民政府，2016年5月13日变更为江苏金灌投资发展集团有限公司，占注册资本的100%。公司现注册资本为44000万元，由江苏金灌投资发展集团有限公司出资，占注册资本的100%。2012年11月01日公司注册时注册资本10000万元，2013年1月22日公司增资4000万元，注册资本从10000万元变更为14000万元，2020年04月23日新增注册资本30000万元，注册资本变更为44000万元。</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1" w:leftChars="10" w:right="79" w:firstLine="623" w:firstLineChars="200"/>
        <w:jc w:val="both"/>
        <w:textAlignment w:val="auto"/>
        <w:rPr>
          <w:rFonts w:hint="eastAsia" w:ascii="仿宋_GB2312" w:eastAsia="仿宋_GB2312"/>
          <w:b/>
          <w:bCs/>
          <w:color w:val="191919"/>
          <w:spacing w:val="-5"/>
          <w:sz w:val="32"/>
          <w:szCs w:val="32"/>
          <w:lang w:eastAsia="zh-CN"/>
        </w:rPr>
      </w:pPr>
      <w:r>
        <w:rPr>
          <w:rFonts w:hint="eastAsia" w:ascii="仿宋_GB2312" w:eastAsia="仿宋_GB2312"/>
          <w:b/>
          <w:bCs/>
          <w:color w:val="191919"/>
          <w:spacing w:val="-5"/>
          <w:sz w:val="32"/>
          <w:szCs w:val="32"/>
          <w:lang w:eastAsia="zh-CN"/>
        </w:rPr>
        <w:t>三、定价政策</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21" w:leftChars="10" w:right="79" w:firstLine="636" w:firstLineChars="200"/>
        <w:jc w:val="both"/>
        <w:textAlignment w:val="auto"/>
        <w:rPr>
          <w:rFonts w:ascii="仿宋_GB2312" w:eastAsia="仿宋_GB2312"/>
          <w:color w:val="191919"/>
          <w:spacing w:val="-10"/>
          <w:sz w:val="32"/>
          <w:szCs w:val="32"/>
          <w:highlight w:val="none"/>
          <w:lang w:eastAsia="zh-CN"/>
        </w:rPr>
      </w:pPr>
      <w:r>
        <w:rPr>
          <w:rFonts w:hint="eastAsia" w:ascii="仿宋_GB2312" w:eastAsia="仿宋_GB2312"/>
          <w:color w:val="191919"/>
          <w:spacing w:val="-1"/>
          <w:sz w:val="32"/>
          <w:szCs w:val="32"/>
          <w:lang w:eastAsia="zh-CN"/>
        </w:rPr>
        <w:t>综合资金成本、客户信用风险溢价、成本费用分摊参照内部转移定价和市场化价格的基础上，以不优于非关联方同类交易进行定价。</w:t>
      </w:r>
      <w:r>
        <w:rPr>
          <w:rFonts w:hint="eastAsia" w:ascii="仿宋_GB2312" w:eastAsia="仿宋_GB2312"/>
          <w:color w:val="191919"/>
          <w:spacing w:val="-1"/>
          <w:sz w:val="32"/>
          <w:szCs w:val="32"/>
          <w:highlight w:val="none"/>
          <w:lang w:eastAsia="zh-CN"/>
        </w:rPr>
        <w:t>本次关联交易执行的年利率为</w:t>
      </w:r>
      <w:r>
        <w:rPr>
          <w:rFonts w:hint="eastAsia" w:ascii="仿宋_GB2312" w:eastAsia="仿宋_GB2312"/>
          <w:color w:val="191919"/>
          <w:spacing w:val="-1"/>
          <w:sz w:val="32"/>
          <w:szCs w:val="32"/>
          <w:highlight w:val="none"/>
          <w:lang w:val="en-US" w:eastAsia="zh-CN"/>
        </w:rPr>
        <w:t>3.5</w:t>
      </w:r>
      <w:r>
        <w:rPr>
          <w:rFonts w:hint="eastAsia" w:ascii="仿宋_GB2312" w:eastAsia="仿宋_GB2312"/>
          <w:color w:val="191919"/>
          <w:spacing w:val="-1"/>
          <w:sz w:val="32"/>
          <w:szCs w:val="32"/>
          <w:highlight w:val="none"/>
          <w:lang w:eastAsia="zh-CN"/>
        </w:rPr>
        <w:t>%。本次交易价格的定价政策为协定。计算方法为双方协商，主要根据当期市场上同类型银行中期流动资金贷款价格，和非关联方同类型业务的定价方式一致。</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23" w:firstLineChars="200"/>
        <w:jc w:val="both"/>
        <w:textAlignment w:val="auto"/>
        <w:outlineLvl w:val="0"/>
        <w:rPr>
          <w:rFonts w:hint="eastAsia" w:ascii="仿宋_GB2312" w:eastAsia="仿宋_GB2312"/>
          <w:b/>
          <w:bCs/>
          <w:color w:val="191919"/>
          <w:spacing w:val="-5"/>
          <w:sz w:val="32"/>
          <w:szCs w:val="32"/>
          <w:lang w:eastAsia="zh-CN"/>
        </w:rPr>
      </w:pPr>
      <w:r>
        <w:rPr>
          <w:rFonts w:hint="eastAsia" w:ascii="仿宋_GB2312" w:eastAsia="仿宋_GB2312"/>
          <w:b/>
          <w:bCs/>
          <w:color w:val="191919"/>
          <w:spacing w:val="-5"/>
          <w:sz w:val="32"/>
          <w:szCs w:val="32"/>
          <w:lang w:eastAsia="zh-CN"/>
        </w:rPr>
        <w:t>四、关联交易金额及相应比例</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jc w:val="both"/>
        <w:textAlignment w:val="auto"/>
        <w:outlineLvl w:val="0"/>
        <w:rPr>
          <w:rFonts w:ascii="仿宋_GB2312" w:eastAsia="仿宋_GB2312"/>
          <w:color w:val="191919"/>
          <w:spacing w:val="-3"/>
          <w:sz w:val="32"/>
          <w:szCs w:val="32"/>
          <w:lang w:eastAsia="zh-CN"/>
        </w:rPr>
      </w:pPr>
      <w:r>
        <w:rPr>
          <w:rFonts w:hint="eastAsia" w:ascii="仿宋_GB2312" w:eastAsia="仿宋_GB2312"/>
          <w:color w:val="191919"/>
          <w:spacing w:val="-10"/>
          <w:sz w:val="32"/>
          <w:szCs w:val="32"/>
          <w:lang w:eastAsia="zh-CN"/>
        </w:rPr>
        <w:t>截至202</w:t>
      </w:r>
      <w:r>
        <w:rPr>
          <w:rFonts w:hint="eastAsia" w:ascii="仿宋_GB2312" w:eastAsia="仿宋_GB2312"/>
          <w:color w:val="191919"/>
          <w:spacing w:val="-10"/>
          <w:sz w:val="32"/>
          <w:szCs w:val="32"/>
          <w:lang w:val="en-US" w:eastAsia="zh-CN"/>
        </w:rPr>
        <w:t>6</w:t>
      </w:r>
      <w:r>
        <w:rPr>
          <w:rFonts w:hint="eastAsia" w:ascii="仿宋_GB2312" w:eastAsia="仿宋_GB2312"/>
          <w:color w:val="191919"/>
          <w:spacing w:val="-10"/>
          <w:sz w:val="32"/>
          <w:szCs w:val="32"/>
          <w:lang w:eastAsia="zh-CN"/>
        </w:rPr>
        <w:t>年6月2</w:t>
      </w:r>
      <w:r>
        <w:rPr>
          <w:rFonts w:hint="eastAsia" w:ascii="仿宋_GB2312" w:eastAsia="仿宋_GB2312"/>
          <w:color w:val="191919"/>
          <w:spacing w:val="-10"/>
          <w:sz w:val="32"/>
          <w:szCs w:val="32"/>
          <w:lang w:val="en-US" w:eastAsia="zh-CN"/>
        </w:rPr>
        <w:t>2</w:t>
      </w:r>
      <w:r>
        <w:rPr>
          <w:rFonts w:hint="eastAsia" w:ascii="仿宋_GB2312" w:eastAsia="仿宋_GB2312"/>
          <w:color w:val="191919"/>
          <w:spacing w:val="-10"/>
          <w:sz w:val="32"/>
          <w:szCs w:val="32"/>
          <w:lang w:eastAsia="zh-CN"/>
        </w:rPr>
        <w:t>日，</w:t>
      </w:r>
      <w:r>
        <w:rPr>
          <w:rFonts w:hint="eastAsia" w:ascii="仿宋_GB2312" w:eastAsia="仿宋_GB2312"/>
          <w:color w:val="191919"/>
          <w:spacing w:val="-10"/>
          <w:sz w:val="32"/>
          <w:szCs w:val="32"/>
          <w:lang w:val="en-US" w:eastAsia="zh-CN"/>
        </w:rPr>
        <w:t>灌南县硕项湖自来水有限公司</w:t>
      </w:r>
      <w:r>
        <w:rPr>
          <w:rFonts w:hint="eastAsia" w:ascii="仿宋_GB2312" w:eastAsia="仿宋_GB2312"/>
          <w:color w:val="191919"/>
          <w:spacing w:val="-1"/>
          <w:sz w:val="32"/>
          <w:szCs w:val="32"/>
          <w:lang w:eastAsia="zh-CN"/>
        </w:rPr>
        <w:t>的关联交易授信余额2000万元，占本行202</w:t>
      </w:r>
      <w:r>
        <w:rPr>
          <w:rFonts w:hint="eastAsia" w:ascii="仿宋_GB2312" w:eastAsia="仿宋_GB2312"/>
          <w:color w:val="191919"/>
          <w:spacing w:val="-1"/>
          <w:sz w:val="32"/>
          <w:szCs w:val="32"/>
          <w:lang w:val="en-US" w:eastAsia="zh-CN"/>
        </w:rPr>
        <w:t>6</w:t>
      </w:r>
      <w:r>
        <w:rPr>
          <w:rFonts w:hint="eastAsia" w:ascii="仿宋_GB2312" w:eastAsia="仿宋_GB2312"/>
          <w:color w:val="191919"/>
          <w:spacing w:val="-1"/>
          <w:sz w:val="32"/>
          <w:szCs w:val="32"/>
          <w:lang w:eastAsia="zh-CN"/>
        </w:rPr>
        <w:t>年一季度末资本净额的</w:t>
      </w:r>
      <w:r>
        <w:rPr>
          <w:rFonts w:hint="eastAsia" w:ascii="仿宋_GB2312" w:eastAsia="仿宋_GB2312"/>
          <w:color w:val="191919"/>
          <w:spacing w:val="-1"/>
          <w:sz w:val="32"/>
          <w:szCs w:val="32"/>
          <w:lang w:val="en-US" w:eastAsia="zh-CN"/>
        </w:rPr>
        <w:t>1.69</w:t>
      </w:r>
      <w:r>
        <w:rPr>
          <w:rFonts w:hint="eastAsia" w:ascii="仿宋_GB2312" w:eastAsia="仿宋_GB2312"/>
          <w:color w:val="191919"/>
          <w:sz w:val="32"/>
          <w:szCs w:val="32"/>
          <w:lang w:eastAsia="zh-CN"/>
        </w:rPr>
        <w:t>%,未违反“银行机构对</w:t>
      </w:r>
      <w:r>
        <w:rPr>
          <w:rFonts w:hint="eastAsia" w:ascii="仿宋_GB2312" w:eastAsia="仿宋_GB2312"/>
          <w:color w:val="191919"/>
          <w:spacing w:val="-3"/>
          <w:sz w:val="32"/>
          <w:szCs w:val="32"/>
          <w:lang w:eastAsia="zh-CN"/>
        </w:rPr>
        <w:t>单个关联方授信余额不得超过银行机构上季末资本净额的10%”监管要求。连云港硕项湖水务集团有限公司集团授信余额</w:t>
      </w:r>
      <w:r>
        <w:rPr>
          <w:rFonts w:hint="eastAsia" w:ascii="仿宋_GB2312" w:eastAsia="仿宋_GB2312"/>
          <w:color w:val="191919"/>
          <w:spacing w:val="-3"/>
          <w:sz w:val="32"/>
          <w:szCs w:val="32"/>
          <w:lang w:val="en-US" w:eastAsia="zh-CN"/>
        </w:rPr>
        <w:t>16700</w:t>
      </w:r>
      <w:r>
        <w:rPr>
          <w:rFonts w:hint="eastAsia" w:ascii="仿宋_GB2312" w:eastAsia="仿宋_GB2312"/>
          <w:color w:val="191919"/>
          <w:spacing w:val="-3"/>
          <w:sz w:val="32"/>
          <w:szCs w:val="32"/>
          <w:lang w:eastAsia="zh-CN"/>
        </w:rPr>
        <w:t>万元</w:t>
      </w:r>
      <w:r>
        <w:rPr>
          <w:rFonts w:hint="eastAsia" w:ascii="仿宋_GB2312" w:eastAsia="仿宋_GB2312"/>
          <w:color w:val="191919"/>
          <w:spacing w:val="-1"/>
          <w:sz w:val="32"/>
          <w:szCs w:val="32"/>
          <w:lang w:eastAsia="zh-CN"/>
        </w:rPr>
        <w:t>，占本行202</w:t>
      </w:r>
      <w:r>
        <w:rPr>
          <w:rFonts w:hint="eastAsia" w:ascii="仿宋_GB2312" w:eastAsia="仿宋_GB2312"/>
          <w:color w:val="191919"/>
          <w:spacing w:val="-1"/>
          <w:sz w:val="32"/>
          <w:szCs w:val="32"/>
          <w:lang w:val="en-US" w:eastAsia="zh-CN"/>
        </w:rPr>
        <w:t>6</w:t>
      </w:r>
      <w:r>
        <w:rPr>
          <w:rFonts w:hint="eastAsia" w:ascii="仿宋_GB2312" w:eastAsia="仿宋_GB2312"/>
          <w:color w:val="191919"/>
          <w:spacing w:val="-1"/>
          <w:sz w:val="32"/>
          <w:szCs w:val="32"/>
          <w:lang w:eastAsia="zh-CN"/>
        </w:rPr>
        <w:t>年一季度末资本</w:t>
      </w:r>
      <w:r>
        <w:rPr>
          <w:rFonts w:hint="eastAsia" w:ascii="仿宋_GB2312" w:eastAsia="仿宋_GB2312"/>
          <w:color w:val="191919"/>
          <w:spacing w:val="1"/>
          <w:sz w:val="32"/>
          <w:szCs w:val="32"/>
          <w:lang w:eastAsia="zh-CN"/>
        </w:rPr>
        <w:t>净额的</w:t>
      </w:r>
      <w:r>
        <w:rPr>
          <w:rFonts w:hint="eastAsia" w:ascii="仿宋_GB2312" w:eastAsia="仿宋_GB2312"/>
          <w:color w:val="191919"/>
          <w:spacing w:val="1"/>
          <w:sz w:val="32"/>
          <w:szCs w:val="32"/>
          <w:lang w:val="en-US" w:eastAsia="zh-CN"/>
        </w:rPr>
        <w:t>14.13</w:t>
      </w:r>
      <w:r>
        <w:rPr>
          <w:rFonts w:hint="eastAsia" w:ascii="仿宋_GB2312" w:eastAsia="仿宋_GB2312"/>
          <w:color w:val="191919"/>
          <w:spacing w:val="1"/>
          <w:sz w:val="32"/>
          <w:szCs w:val="32"/>
          <w:lang w:eastAsia="zh-CN"/>
        </w:rPr>
        <w:t>%，未违反“银行机构对单个法人或</w:t>
      </w:r>
      <w:r>
        <w:rPr>
          <w:rFonts w:hint="eastAsia" w:ascii="仿宋_GB2312" w:eastAsia="仿宋_GB2312"/>
          <w:color w:val="191919"/>
          <w:sz w:val="32"/>
          <w:szCs w:val="32"/>
          <w:lang w:eastAsia="zh-CN"/>
        </w:rPr>
        <w:t>非法人组织</w:t>
      </w:r>
      <w:r>
        <w:rPr>
          <w:rFonts w:hint="eastAsia" w:ascii="仿宋_GB2312" w:eastAsia="仿宋_GB2312"/>
          <w:color w:val="191919"/>
          <w:spacing w:val="-3"/>
          <w:sz w:val="32"/>
          <w:szCs w:val="32"/>
          <w:lang w:eastAsia="zh-CN"/>
        </w:rPr>
        <w:t>所在</w:t>
      </w:r>
      <w:r>
        <w:rPr>
          <w:rFonts w:hint="eastAsia" w:ascii="仿宋_GB2312" w:eastAsia="仿宋_GB2312"/>
          <w:color w:val="191919"/>
          <w:sz w:val="32"/>
          <w:szCs w:val="32"/>
          <w:lang w:eastAsia="zh-CN"/>
        </w:rPr>
        <w:t>集团客户的合计授信余额不得超过银行机构上季末资本净额的15% ”的监管要求。本行全部关联方授信余额</w:t>
      </w:r>
      <w:r>
        <w:rPr>
          <w:rFonts w:hint="eastAsia" w:ascii="仿宋_GB2312" w:eastAsia="仿宋_GB2312"/>
          <w:color w:val="000000" w:themeColor="text1"/>
          <w:sz w:val="32"/>
          <w:szCs w:val="32"/>
          <w:lang w:eastAsia="zh-CN"/>
        </w:rPr>
        <w:t>17622.47万元，</w:t>
      </w:r>
      <w:r>
        <w:rPr>
          <w:rFonts w:hint="eastAsia" w:ascii="仿宋_GB2312" w:eastAsia="仿宋_GB2312"/>
          <w:color w:val="191919"/>
          <w:sz w:val="32"/>
          <w:szCs w:val="32"/>
          <w:lang w:eastAsia="zh-CN"/>
        </w:rPr>
        <w:t>占本行202</w:t>
      </w:r>
      <w:r>
        <w:rPr>
          <w:rFonts w:hint="eastAsia" w:ascii="仿宋_GB2312" w:eastAsia="仿宋_GB2312"/>
          <w:color w:val="191919"/>
          <w:sz w:val="32"/>
          <w:szCs w:val="32"/>
          <w:lang w:val="en-US" w:eastAsia="zh-CN"/>
        </w:rPr>
        <w:t>6</w:t>
      </w:r>
      <w:r>
        <w:rPr>
          <w:rFonts w:hint="eastAsia" w:ascii="仿宋_GB2312" w:eastAsia="仿宋_GB2312"/>
          <w:color w:val="191919"/>
          <w:sz w:val="32"/>
          <w:szCs w:val="32"/>
          <w:lang w:eastAsia="zh-CN"/>
        </w:rPr>
        <w:t>年一季度末资本净额的</w:t>
      </w:r>
      <w:r>
        <w:rPr>
          <w:rFonts w:hint="eastAsia" w:ascii="仿宋_GB2312" w:eastAsia="仿宋_GB2312"/>
          <w:color w:val="191919"/>
          <w:sz w:val="32"/>
          <w:szCs w:val="32"/>
          <w:lang w:val="en-US" w:eastAsia="zh-CN"/>
        </w:rPr>
        <w:t>14.91</w:t>
      </w:r>
      <w:r>
        <w:rPr>
          <w:rFonts w:hint="eastAsia" w:ascii="仿宋_GB2312" w:eastAsia="仿宋_GB2312"/>
          <w:color w:val="191919"/>
          <w:sz w:val="32"/>
          <w:szCs w:val="32"/>
          <w:lang w:eastAsia="zh-CN"/>
        </w:rPr>
        <w:t>%，未违反“银行机构对全部关联方的授信余额不得超过银行机构上季末资本净额的50%”的监管要求。</w:t>
      </w:r>
      <w:bookmarkStart w:id="0" w:name="_GoBack"/>
      <w:bookmarkEnd w:id="0"/>
    </w:p>
    <w:p>
      <w:pPr>
        <w:pStyle w:val="2"/>
        <w:keepNext w:val="0"/>
        <w:keepLines/>
        <w:pageBreakBefore w:val="0"/>
        <w:kinsoku/>
        <w:wordWrap/>
        <w:overflowPunct/>
        <w:topLinePunct w:val="0"/>
        <w:autoSpaceDE w:val="0"/>
        <w:autoSpaceDN w:val="0"/>
        <w:bidi w:val="0"/>
        <w:adjustRightInd w:val="0"/>
        <w:snapToGrid w:val="0"/>
        <w:spacing w:line="560" w:lineRule="exact"/>
        <w:ind w:firstLine="631" w:firstLineChars="200"/>
        <w:jc w:val="both"/>
        <w:textAlignment w:val="auto"/>
        <w:outlineLvl w:val="0"/>
        <w:rPr>
          <w:rFonts w:ascii="仿宋_GB2312" w:eastAsia="仿宋_GB2312"/>
          <w:sz w:val="32"/>
          <w:szCs w:val="32"/>
          <w:lang w:eastAsia="zh-CN"/>
        </w:rPr>
      </w:pPr>
      <w:r>
        <w:rPr>
          <w:rFonts w:hint="eastAsia" w:ascii="仿宋_GB2312" w:eastAsia="仿宋_GB2312"/>
          <w:b/>
          <w:bCs/>
          <w:color w:val="191919"/>
          <w:spacing w:val="-3"/>
          <w:sz w:val="32"/>
          <w:szCs w:val="32"/>
          <w:lang w:eastAsia="zh-CN"/>
        </w:rPr>
        <w:t>五、关联交易审议程序</w:t>
      </w:r>
    </w:p>
    <w:p>
      <w:pPr>
        <w:pStyle w:val="2"/>
        <w:keepNext w:val="0"/>
        <w:keepLines/>
        <w:pageBreakBefore w:val="0"/>
        <w:kinsoku/>
        <w:wordWrap/>
        <w:overflowPunct/>
        <w:topLinePunct w:val="0"/>
        <w:autoSpaceDE w:val="0"/>
        <w:autoSpaceDN w:val="0"/>
        <w:bidi w:val="0"/>
        <w:adjustRightInd w:val="0"/>
        <w:snapToGrid w:val="0"/>
        <w:spacing w:line="560" w:lineRule="exact"/>
        <w:ind w:left="23" w:leftChars="11" w:firstLine="628" w:firstLineChars="200"/>
        <w:jc w:val="both"/>
        <w:textAlignment w:val="auto"/>
        <w:rPr>
          <w:rFonts w:ascii="仿宋_GB2312" w:eastAsia="仿宋_GB2312"/>
          <w:sz w:val="32"/>
          <w:szCs w:val="32"/>
          <w:highlight w:val="yellow"/>
          <w:lang w:eastAsia="zh-CN"/>
        </w:rPr>
      </w:pPr>
      <w:r>
        <w:rPr>
          <w:rFonts w:hint="eastAsia" w:ascii="仿宋_GB2312" w:eastAsia="仿宋_GB2312"/>
          <w:color w:val="191919"/>
          <w:spacing w:val="-3"/>
          <w:sz w:val="32"/>
          <w:szCs w:val="32"/>
          <w:lang w:eastAsia="zh-CN"/>
        </w:rPr>
        <w:t>根据国家金融监督管理总局《银行保险机构关联交易管理办法》、本行《关</w:t>
      </w:r>
      <w:r>
        <w:rPr>
          <w:rFonts w:hint="eastAsia" w:ascii="仿宋_GB2312" w:eastAsia="仿宋_GB2312"/>
          <w:color w:val="191919"/>
          <w:spacing w:val="-4"/>
          <w:sz w:val="32"/>
          <w:szCs w:val="32"/>
          <w:lang w:eastAsia="zh-CN"/>
        </w:rPr>
        <w:t>联交易管理</w:t>
      </w:r>
      <w:r>
        <w:rPr>
          <w:rFonts w:hint="eastAsia" w:ascii="仿宋_GB2312" w:eastAsia="仿宋_GB2312"/>
          <w:color w:val="191919"/>
          <w:spacing w:val="-3"/>
          <w:sz w:val="32"/>
          <w:szCs w:val="32"/>
          <w:lang w:eastAsia="zh-CN"/>
        </w:rPr>
        <w:t>办法》等相关规定，上述关联交易履行了如下程序：本行给予连云港硕项湖水务集团有限公司</w:t>
      </w:r>
      <w:r>
        <w:rPr>
          <w:rFonts w:hint="eastAsia" w:ascii="仿宋_GB2312" w:eastAsia="仿宋_GB2312"/>
          <w:color w:val="191919"/>
          <w:spacing w:val="-1"/>
          <w:sz w:val="32"/>
          <w:szCs w:val="32"/>
          <w:lang w:eastAsia="zh-CN"/>
        </w:rPr>
        <w:t>授信类关联交易额度</w:t>
      </w:r>
      <w:r>
        <w:rPr>
          <w:rFonts w:hint="eastAsia" w:ascii="仿宋_GB2312" w:eastAsia="仿宋_GB2312"/>
          <w:color w:val="191919"/>
          <w:spacing w:val="-1"/>
          <w:sz w:val="32"/>
          <w:szCs w:val="32"/>
          <w:lang w:val="en-US" w:eastAsia="zh-CN"/>
        </w:rPr>
        <w:t>16700</w:t>
      </w:r>
      <w:r>
        <w:rPr>
          <w:rFonts w:hint="eastAsia" w:ascii="仿宋_GB2312" w:eastAsia="仿宋_GB2312"/>
          <w:color w:val="191919"/>
          <w:spacing w:val="-1"/>
          <w:sz w:val="32"/>
          <w:szCs w:val="32"/>
          <w:lang w:eastAsia="zh-CN"/>
        </w:rPr>
        <w:t>万元</w:t>
      </w:r>
      <w:r>
        <w:rPr>
          <w:rFonts w:hint="eastAsia" w:ascii="仿宋_GB2312" w:eastAsia="仿宋_GB2312"/>
          <w:color w:val="191919"/>
          <w:spacing w:val="-3"/>
          <w:sz w:val="32"/>
          <w:szCs w:val="32"/>
          <w:lang w:eastAsia="zh-CN"/>
        </w:rPr>
        <w:t>属于重大关联交易。该笔关联交易经第四届董事会风险管理与关联交易控制委员会第三次会议审查后提交</w:t>
      </w:r>
      <w:r>
        <w:rPr>
          <w:rFonts w:hint="eastAsia" w:ascii="仿宋_GB2312" w:eastAsia="仿宋_GB2312"/>
          <w:color w:val="191919"/>
          <w:spacing w:val="-3"/>
          <w:sz w:val="32"/>
          <w:szCs w:val="32"/>
          <w:highlight w:val="none"/>
          <w:lang w:eastAsia="zh-CN"/>
        </w:rPr>
        <w:t>第四届董事会第五次会议审议，并于202</w:t>
      </w:r>
      <w:r>
        <w:rPr>
          <w:rFonts w:hint="eastAsia" w:ascii="仿宋_GB2312" w:eastAsia="仿宋_GB2312"/>
          <w:color w:val="191919"/>
          <w:spacing w:val="-3"/>
          <w:sz w:val="32"/>
          <w:szCs w:val="32"/>
          <w:highlight w:val="none"/>
          <w:lang w:val="en-US" w:eastAsia="zh-CN"/>
        </w:rPr>
        <w:t>6</w:t>
      </w:r>
      <w:r>
        <w:rPr>
          <w:rFonts w:hint="eastAsia" w:ascii="仿宋_GB2312" w:eastAsia="仿宋_GB2312"/>
          <w:color w:val="191919"/>
          <w:spacing w:val="-3"/>
          <w:sz w:val="32"/>
          <w:szCs w:val="32"/>
          <w:highlight w:val="none"/>
          <w:lang w:eastAsia="zh-CN"/>
        </w:rPr>
        <w:t>年6月</w:t>
      </w:r>
      <w:r>
        <w:rPr>
          <w:rFonts w:hint="eastAsia" w:ascii="仿宋_GB2312" w:eastAsia="仿宋_GB2312"/>
          <w:color w:val="191919"/>
          <w:spacing w:val="-3"/>
          <w:sz w:val="32"/>
          <w:szCs w:val="32"/>
          <w:highlight w:val="none"/>
          <w:lang w:val="en-US" w:eastAsia="zh-CN"/>
        </w:rPr>
        <w:t>5</w:t>
      </w:r>
      <w:r>
        <w:rPr>
          <w:rFonts w:hint="eastAsia" w:ascii="仿宋_GB2312" w:eastAsia="仿宋_GB2312"/>
          <w:color w:val="191919"/>
          <w:spacing w:val="-3"/>
          <w:sz w:val="32"/>
          <w:szCs w:val="32"/>
          <w:highlight w:val="none"/>
          <w:lang w:eastAsia="zh-CN"/>
        </w:rPr>
        <w:t>日提交本行202</w:t>
      </w:r>
      <w:r>
        <w:rPr>
          <w:rFonts w:hint="eastAsia" w:ascii="仿宋_GB2312" w:eastAsia="仿宋_GB2312"/>
          <w:color w:val="191919"/>
          <w:spacing w:val="-3"/>
          <w:sz w:val="32"/>
          <w:szCs w:val="32"/>
          <w:highlight w:val="none"/>
          <w:lang w:val="en-US" w:eastAsia="zh-CN"/>
        </w:rPr>
        <w:t>5</w:t>
      </w:r>
      <w:r>
        <w:rPr>
          <w:rFonts w:hint="eastAsia" w:ascii="仿宋_GB2312" w:eastAsia="仿宋_GB2312"/>
          <w:color w:val="191919"/>
          <w:spacing w:val="-3"/>
          <w:sz w:val="32"/>
          <w:szCs w:val="32"/>
          <w:highlight w:val="none"/>
          <w:lang w:eastAsia="zh-CN"/>
        </w:rPr>
        <w:t>年度股东大会审议通过。</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auto"/>
        <w:outlineLvl w:val="0"/>
        <w:rPr>
          <w:rFonts w:hint="eastAsia" w:ascii="仿宋_GB2312" w:eastAsia="仿宋_GB2312"/>
          <w:b/>
          <w:bCs/>
          <w:color w:val="191919"/>
          <w:spacing w:val="-4"/>
          <w:sz w:val="32"/>
          <w:szCs w:val="32"/>
          <w:lang w:eastAsia="zh-CN"/>
        </w:rPr>
      </w:pPr>
      <w:r>
        <w:rPr>
          <w:rFonts w:hint="eastAsia" w:ascii="仿宋_GB2312" w:eastAsia="仿宋_GB2312"/>
          <w:b/>
          <w:bCs/>
          <w:color w:val="191919"/>
          <w:spacing w:val="-4"/>
          <w:sz w:val="32"/>
          <w:szCs w:val="32"/>
          <w:lang w:eastAsia="zh-CN"/>
        </w:rPr>
        <w:t>六、独立董事意见</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auto"/>
        <w:outlineLvl w:val="0"/>
        <w:rPr>
          <w:rFonts w:ascii="仿宋_GB2312" w:eastAsia="仿宋_GB2312"/>
          <w:sz w:val="32"/>
          <w:szCs w:val="32"/>
          <w:highlight w:val="none"/>
          <w:lang w:eastAsia="zh-CN"/>
        </w:rPr>
      </w:pPr>
      <w:r>
        <w:rPr>
          <w:rFonts w:hint="eastAsia" w:ascii="仿宋_GB2312" w:eastAsia="仿宋_GB2312"/>
          <w:color w:val="191919"/>
          <w:spacing w:val="-4"/>
          <w:sz w:val="32"/>
          <w:szCs w:val="32"/>
          <w:highlight w:val="none"/>
          <w:lang w:eastAsia="zh-CN"/>
        </w:rPr>
        <w:t>本行董事会独立董事何新容、曹严礼、戴华江、蒙丹梅对该笔关联交易出具了书面意见</w:t>
      </w:r>
      <w:r>
        <w:rPr>
          <w:rFonts w:hint="eastAsia" w:ascii="仿宋_GB2312" w:eastAsia="仿宋_GB2312"/>
          <w:color w:val="191919"/>
          <w:spacing w:val="-1"/>
          <w:sz w:val="32"/>
          <w:szCs w:val="32"/>
          <w:highlight w:val="none"/>
          <w:lang w:eastAsia="zh-CN"/>
        </w:rPr>
        <w:t>，同意关于本次重大关联交易的合规性、公允性和必要性。</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31" w:firstLineChars="200"/>
        <w:jc w:val="both"/>
        <w:textAlignment w:val="auto"/>
        <w:outlineLvl w:val="0"/>
        <w:rPr>
          <w:rFonts w:ascii="仿宋_GB2312" w:eastAsia="仿宋_GB2312"/>
          <w:sz w:val="32"/>
          <w:szCs w:val="32"/>
          <w:lang w:eastAsia="zh-CN"/>
        </w:rPr>
      </w:pPr>
      <w:r>
        <w:rPr>
          <w:rFonts w:hint="eastAsia" w:ascii="仿宋_GB2312" w:eastAsia="仿宋_GB2312"/>
          <w:b/>
          <w:bCs/>
          <w:color w:val="191919"/>
          <w:spacing w:val="-3"/>
          <w:sz w:val="32"/>
          <w:szCs w:val="32"/>
          <w:lang w:eastAsia="zh-CN"/>
        </w:rPr>
        <w:t>七、其他补充披露事项</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16" w:firstLineChars="200"/>
        <w:jc w:val="both"/>
        <w:textAlignment w:val="auto"/>
        <w:rPr>
          <w:rFonts w:hint="eastAsia" w:ascii="仿宋_GB2312" w:eastAsia="仿宋_GB2312"/>
          <w:color w:val="191919"/>
          <w:spacing w:val="-3"/>
          <w:sz w:val="32"/>
          <w:szCs w:val="32"/>
          <w:lang w:eastAsia="zh-CN"/>
        </w:rPr>
      </w:pPr>
      <w:r>
        <w:rPr>
          <w:rFonts w:hint="eastAsia" w:ascii="仿宋_GB2312" w:eastAsia="仿宋_GB2312"/>
          <w:color w:val="191919"/>
          <w:spacing w:val="-6"/>
          <w:sz w:val="32"/>
          <w:szCs w:val="32"/>
          <w:lang w:eastAsia="zh-CN"/>
        </w:rPr>
        <w:t>无。</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62" w:firstLine="628" w:firstLineChars="200"/>
        <w:jc w:val="both"/>
        <w:textAlignment w:val="auto"/>
        <w:rPr>
          <w:rFonts w:ascii="仿宋_GB2312" w:eastAsia="仿宋_GB2312"/>
          <w:color w:val="191919"/>
          <w:spacing w:val="-1"/>
          <w:sz w:val="32"/>
          <w:szCs w:val="32"/>
          <w:lang w:eastAsia="zh-CN"/>
        </w:rPr>
      </w:pPr>
      <w:r>
        <w:rPr>
          <w:rFonts w:hint="eastAsia" w:ascii="仿宋_GB2312" w:eastAsia="仿宋_GB2312"/>
          <w:color w:val="191919"/>
          <w:spacing w:val="-3"/>
          <w:sz w:val="32"/>
          <w:szCs w:val="32"/>
          <w:lang w:eastAsia="zh-CN"/>
        </w:rPr>
        <w:t>综上，该笔关联交易符合监管、本行相关规定，履行了相应的</w:t>
      </w:r>
      <w:r>
        <w:rPr>
          <w:rFonts w:hint="eastAsia" w:ascii="仿宋_GB2312" w:eastAsia="仿宋_GB2312"/>
          <w:color w:val="191919"/>
          <w:spacing w:val="-4"/>
          <w:sz w:val="32"/>
          <w:szCs w:val="32"/>
          <w:lang w:eastAsia="zh-CN"/>
        </w:rPr>
        <w:t>审批程序，符合本行</w:t>
      </w:r>
      <w:r>
        <w:rPr>
          <w:rFonts w:hint="eastAsia" w:ascii="仿宋_GB2312" w:eastAsia="仿宋_GB2312"/>
          <w:color w:val="191919"/>
          <w:spacing w:val="-1"/>
          <w:sz w:val="32"/>
          <w:szCs w:val="32"/>
          <w:lang w:eastAsia="zh-CN"/>
        </w:rPr>
        <w:t>股东的利益，对本行正常经营活动无重大影响。</w:t>
      </w:r>
    </w:p>
    <w:p>
      <w:pPr>
        <w:pStyle w:val="2"/>
        <w:keepNext w:val="0"/>
        <w:keepLines/>
        <w:pageBreakBefore w:val="0"/>
        <w:kinsoku/>
        <w:wordWrap/>
        <w:overflowPunct/>
        <w:topLinePunct w:val="0"/>
        <w:autoSpaceDE w:val="0"/>
        <w:autoSpaceDN w:val="0"/>
        <w:bidi w:val="0"/>
        <w:adjustRightInd w:val="0"/>
        <w:snapToGrid w:val="0"/>
        <w:spacing w:line="560" w:lineRule="exact"/>
        <w:ind w:left="23" w:right="63" w:firstLine="636" w:firstLineChars="200"/>
        <w:jc w:val="both"/>
        <w:textAlignment w:val="auto"/>
        <w:rPr>
          <w:rFonts w:ascii="仿宋_GB2312" w:eastAsia="仿宋_GB2312"/>
          <w:color w:val="191919"/>
          <w:spacing w:val="-1"/>
          <w:sz w:val="32"/>
          <w:szCs w:val="32"/>
          <w:lang w:eastAsia="zh-CN"/>
        </w:rPr>
      </w:pPr>
    </w:p>
    <w:p>
      <w:pPr>
        <w:pStyle w:val="2"/>
        <w:keepNext w:val="0"/>
        <w:keepLines/>
        <w:pageBreakBefore w:val="0"/>
        <w:kinsoku/>
        <w:wordWrap/>
        <w:overflowPunct/>
        <w:topLinePunct w:val="0"/>
        <w:autoSpaceDE w:val="0"/>
        <w:autoSpaceDN w:val="0"/>
        <w:bidi w:val="0"/>
        <w:adjustRightInd w:val="0"/>
        <w:snapToGrid w:val="0"/>
        <w:spacing w:line="560" w:lineRule="exact"/>
        <w:ind w:left="23" w:right="63" w:firstLine="636" w:firstLineChars="200"/>
        <w:jc w:val="both"/>
        <w:textAlignment w:val="auto"/>
        <w:rPr>
          <w:rFonts w:ascii="仿宋_GB2312" w:eastAsia="仿宋_GB2312"/>
          <w:color w:val="191919"/>
          <w:spacing w:val="-1"/>
          <w:sz w:val="32"/>
          <w:szCs w:val="32"/>
          <w:lang w:eastAsia="zh-CN"/>
        </w:rPr>
      </w:pPr>
    </w:p>
    <w:p>
      <w:pPr>
        <w:pStyle w:val="2"/>
        <w:keepNext w:val="0"/>
        <w:keepLines/>
        <w:pageBreakBefore w:val="0"/>
        <w:kinsoku/>
        <w:wordWrap/>
        <w:overflowPunct/>
        <w:topLinePunct w:val="0"/>
        <w:autoSpaceDE w:val="0"/>
        <w:autoSpaceDN w:val="0"/>
        <w:bidi w:val="0"/>
        <w:adjustRightInd w:val="0"/>
        <w:snapToGrid w:val="0"/>
        <w:spacing w:line="560" w:lineRule="exact"/>
        <w:ind w:right="63" w:firstLine="2862" w:firstLineChars="900"/>
        <w:jc w:val="both"/>
        <w:textAlignment w:val="auto"/>
        <w:rPr>
          <w:rFonts w:ascii="仿宋_GB2312" w:eastAsia="仿宋_GB2312"/>
          <w:color w:val="191919"/>
          <w:spacing w:val="4"/>
          <w:sz w:val="32"/>
          <w:szCs w:val="32"/>
          <w:lang w:eastAsia="zh-CN"/>
        </w:rPr>
      </w:pPr>
      <w:r>
        <w:rPr>
          <w:rFonts w:hint="eastAsia" w:ascii="仿宋_GB2312" w:eastAsia="仿宋_GB2312"/>
          <w:color w:val="191919"/>
          <w:spacing w:val="-1"/>
          <w:sz w:val="32"/>
          <w:szCs w:val="32"/>
          <w:lang w:eastAsia="zh-CN"/>
        </w:rPr>
        <w:t>江苏灌南农村商业银行股份有限公司</w:t>
      </w:r>
    </w:p>
    <w:p>
      <w:pPr>
        <w:pStyle w:val="2"/>
        <w:keepNext w:val="0"/>
        <w:keepLines/>
        <w:pageBreakBefore w:val="0"/>
        <w:kinsoku/>
        <w:wordWrap/>
        <w:overflowPunct/>
        <w:topLinePunct w:val="0"/>
        <w:autoSpaceDE w:val="0"/>
        <w:autoSpaceDN w:val="0"/>
        <w:bidi w:val="0"/>
        <w:adjustRightInd w:val="0"/>
        <w:snapToGrid w:val="0"/>
        <w:spacing w:line="560" w:lineRule="exact"/>
        <w:ind w:right="63" w:firstLine="4590" w:firstLineChars="1500"/>
        <w:jc w:val="both"/>
        <w:textAlignment w:val="auto"/>
        <w:rPr>
          <w:rFonts w:eastAsiaTheme="minorEastAsia"/>
          <w:lang w:eastAsia="zh-CN"/>
        </w:rPr>
      </w:pPr>
      <w:r>
        <w:rPr>
          <w:rFonts w:hint="eastAsia" w:ascii="仿宋_GB2312" w:eastAsia="仿宋_GB2312"/>
          <w:color w:val="191919"/>
          <w:spacing w:val="-7"/>
          <w:sz w:val="32"/>
          <w:szCs w:val="32"/>
          <w:lang w:eastAsia="zh-CN"/>
        </w:rPr>
        <w:t>202</w:t>
      </w:r>
      <w:r>
        <w:rPr>
          <w:rFonts w:hint="eastAsia" w:ascii="仿宋_GB2312" w:eastAsia="仿宋_GB2312"/>
          <w:color w:val="191919"/>
          <w:spacing w:val="-7"/>
          <w:sz w:val="32"/>
          <w:szCs w:val="32"/>
          <w:lang w:val="en-US" w:eastAsia="zh-CN"/>
        </w:rPr>
        <w:t>6</w:t>
      </w:r>
      <w:r>
        <w:rPr>
          <w:rFonts w:hint="eastAsia" w:ascii="仿宋_GB2312" w:eastAsia="仿宋_GB2312"/>
          <w:color w:val="191919"/>
          <w:spacing w:val="-7"/>
          <w:sz w:val="32"/>
          <w:szCs w:val="32"/>
          <w:lang w:eastAsia="zh-CN"/>
        </w:rPr>
        <w:t>年</w:t>
      </w:r>
      <w:r>
        <w:rPr>
          <w:rFonts w:hint="eastAsia" w:ascii="仿宋_GB2312" w:eastAsia="仿宋_GB2312"/>
          <w:color w:val="191919"/>
          <w:spacing w:val="-7"/>
          <w:sz w:val="32"/>
          <w:szCs w:val="32"/>
          <w:lang w:val="en-US" w:eastAsia="zh-CN"/>
        </w:rPr>
        <w:t>6</w:t>
      </w:r>
      <w:r>
        <w:rPr>
          <w:rFonts w:hint="eastAsia" w:ascii="仿宋_GB2312" w:eastAsia="仿宋_GB2312"/>
          <w:color w:val="191919"/>
          <w:spacing w:val="-7"/>
          <w:sz w:val="32"/>
          <w:szCs w:val="32"/>
          <w:lang w:eastAsia="zh-CN"/>
        </w:rPr>
        <w:t>月</w:t>
      </w:r>
      <w:r>
        <w:rPr>
          <w:rFonts w:hint="eastAsia" w:ascii="仿宋_GB2312" w:eastAsia="仿宋_GB2312"/>
          <w:color w:val="191919"/>
          <w:spacing w:val="-7"/>
          <w:sz w:val="32"/>
          <w:szCs w:val="32"/>
          <w:lang w:val="en-US" w:eastAsia="zh-CN"/>
        </w:rPr>
        <w:t>25</w:t>
      </w:r>
      <w:r>
        <w:rPr>
          <w:rFonts w:hint="eastAsia" w:ascii="仿宋_GB2312" w:eastAsia="仿宋_GB2312"/>
          <w:color w:val="191919"/>
          <w:spacing w:val="-7"/>
          <w:sz w:val="32"/>
          <w:szCs w:val="32"/>
          <w:lang w:eastAsia="zh-CN"/>
        </w:rPr>
        <w:t>日</w:t>
      </w:r>
    </w:p>
    <w:sectPr>
      <w:headerReference r:id="rId3" w:type="default"/>
      <w:footerReference r:id="rId4" w:type="default"/>
      <w:pgSz w:w="11900" w:h="16820"/>
      <w:pgMar w:top="1440" w:right="1800" w:bottom="1440" w:left="1800" w:header="0" w:footer="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612083"/>
      <w:docPartObj>
        <w:docPartGallery w:val="autotext"/>
      </w:docPartObj>
    </w:sdtPr>
    <w:sdtEndPr>
      <w:rPr>
        <w:sz w:val="24"/>
        <w:szCs w:val="24"/>
      </w:rPr>
    </w:sdtEndPr>
    <w:sdtContent>
      <w:p>
        <w:pPr>
          <w:pStyle w:val="3"/>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sdtContent>
  </w:sdt>
  <w:p>
    <w:pPr>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2"/>
  </w:compat>
  <w:rsids>
    <w:rsidRoot w:val="003A6D8C"/>
    <w:rsid w:val="00010930"/>
    <w:rsid w:val="001E167D"/>
    <w:rsid w:val="00250424"/>
    <w:rsid w:val="003A6D8C"/>
    <w:rsid w:val="003D604B"/>
    <w:rsid w:val="00425261"/>
    <w:rsid w:val="0047659F"/>
    <w:rsid w:val="004D6E0F"/>
    <w:rsid w:val="006E220D"/>
    <w:rsid w:val="00787922"/>
    <w:rsid w:val="007A05E7"/>
    <w:rsid w:val="00955300"/>
    <w:rsid w:val="0096095D"/>
    <w:rsid w:val="00AC1AA8"/>
    <w:rsid w:val="00B33009"/>
    <w:rsid w:val="00B454A2"/>
    <w:rsid w:val="00CD731F"/>
    <w:rsid w:val="00D41835"/>
    <w:rsid w:val="00DD2864"/>
    <w:rsid w:val="00E97CFA"/>
    <w:rsid w:val="00FE2FCC"/>
    <w:rsid w:val="01FB23CB"/>
    <w:rsid w:val="0E960F7B"/>
    <w:rsid w:val="10D64D2E"/>
    <w:rsid w:val="12CD73E7"/>
    <w:rsid w:val="179E21CE"/>
    <w:rsid w:val="197A0F33"/>
    <w:rsid w:val="19F748A0"/>
    <w:rsid w:val="1F2854C8"/>
    <w:rsid w:val="216956DC"/>
    <w:rsid w:val="26D72F5C"/>
    <w:rsid w:val="29DC5C88"/>
    <w:rsid w:val="2EC56EB2"/>
    <w:rsid w:val="32DC69FE"/>
    <w:rsid w:val="3E2C4ED2"/>
    <w:rsid w:val="410955CD"/>
    <w:rsid w:val="45145840"/>
    <w:rsid w:val="459A44BE"/>
    <w:rsid w:val="47BD2EBF"/>
    <w:rsid w:val="49BD0406"/>
    <w:rsid w:val="4AF30483"/>
    <w:rsid w:val="4B6A130B"/>
    <w:rsid w:val="50190775"/>
    <w:rsid w:val="52A23686"/>
    <w:rsid w:val="54E9264D"/>
    <w:rsid w:val="56645F1B"/>
    <w:rsid w:val="573E5FAE"/>
    <w:rsid w:val="574D2379"/>
    <w:rsid w:val="57C235CC"/>
    <w:rsid w:val="581B4698"/>
    <w:rsid w:val="58F83208"/>
    <w:rsid w:val="60160C30"/>
    <w:rsid w:val="62C2079C"/>
    <w:rsid w:val="6BA37623"/>
    <w:rsid w:val="72DE34A1"/>
    <w:rsid w:val="76F60D92"/>
    <w:rsid w:val="7B2D3022"/>
    <w:rsid w:val="7C173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link w:val="9"/>
    <w:qFormat/>
    <w:uiPriority w:val="99"/>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4"/>
    <w:qFormat/>
    <w:uiPriority w:val="0"/>
    <w:rPr>
      <w:rFonts w:eastAsia="Arial"/>
      <w:snapToGrid w:val="0"/>
      <w:color w:val="000000"/>
      <w:sz w:val="18"/>
      <w:szCs w:val="18"/>
      <w:lang w:eastAsia="en-US"/>
    </w:rPr>
  </w:style>
  <w:style w:type="character" w:customStyle="1" w:styleId="9">
    <w:name w:val="页脚 Char"/>
    <w:basedOn w:val="6"/>
    <w:link w:val="3"/>
    <w:qFormat/>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6225-7FEA-4087-8097-B86CCFFAC56F}">
  <ds:schemaRefs/>
</ds:datastoreItem>
</file>

<file path=docProps/app.xml><?xml version="1.0" encoding="utf-8"?>
<Properties xmlns="http://schemas.openxmlformats.org/officeDocument/2006/extended-properties" xmlns:vt="http://schemas.openxmlformats.org/officeDocument/2006/docPropsVTypes">
  <Template>Normal.dotm</Template>
  <Company>www.deepin.org</Company>
  <Pages>4</Pages>
  <Words>290</Words>
  <Characters>1658</Characters>
  <Lines>13</Lines>
  <Paragraphs>3</Paragraphs>
  <TotalTime>20</TotalTime>
  <ScaleCrop>false</ScaleCrop>
  <LinksUpToDate>false</LinksUpToDate>
  <CharactersWithSpaces>1945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2024-06-26T04:21:00Z</dcterms:created>
  <dc:creator>D</dc:creator>
  <cp:lastModifiedBy>Administrator</cp:lastModifiedBy>
  <cp:lastPrinted>2026-06-24T08:33:00Z</cp:lastPrinted>
  <dcterms:modified xsi:type="dcterms:W3CDTF">2026-06-25T01:35:43Z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2024-07-16T14:54:46Z</vt:filetime>
  </property>
  <property fmtid="{D5CDD505-2E9C-101B-9397-08002B2CF9AE}" pid="4" name="KSOProductBuildVer">
    <vt:lpwstr>2052-11.8.2.11813</vt:lpwstr>
  </property>
  <property fmtid="{D5CDD505-2E9C-101B-9397-08002B2CF9AE}" pid="5" name="ICV">
    <vt:lpwstr>4A4C7602C23C4704A83A946E37114074</vt:lpwstr>
  </property>
</Properties>
</file>