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B0BD1">
      <w:pPr>
        <w:jc w:val="center"/>
      </w:pPr>
      <w:r>
        <w:rPr>
          <w:rFonts w:ascii="黑体" w:hAnsi="黑体" w:eastAsia="黑体"/>
          <w:b/>
          <w:sz w:val="36"/>
        </w:rPr>
        <w:t>关于金融产品和服务所执行标准情况的声明</w:t>
      </w:r>
    </w:p>
    <w:p w14:paraId="04C96B58">
      <w:pPr>
        <w:spacing w:line="360" w:lineRule="auto"/>
        <w:ind w:firstLine="480" w:firstLineChars="200"/>
      </w:pPr>
      <w:r>
        <w:rPr>
          <w:rFonts w:ascii="宋体" w:hAnsi="宋体" w:eastAsia="宋体"/>
          <w:sz w:val="24"/>
        </w:rPr>
        <w:t>根据《中华人民共和国标准化法》有关规定，现将江苏灌南农村商业银行股份有限公司提供的金融产品和服务所执行的国家标准、行业标准、团体标准、企业标准情况公开如下。江苏灌南农村商业银行股份有限公司承诺相关金融产品和服务符合公开标准规定的各项技术要求，对声明公开信息的真实性、准确性、合法性负责。本次声明公开的信息统计截至202</w:t>
      </w:r>
      <w:r>
        <w:rPr>
          <w:rFonts w:hint="eastAsia"/>
          <w:sz w:val="24"/>
          <w:lang w:val="en-US" w:eastAsia="zh-CN"/>
        </w:rPr>
        <w:t>6</w:t>
      </w:r>
      <w:r>
        <w:rPr>
          <w:rFonts w:ascii="宋体" w:hAnsi="宋体" w:eastAsia="宋体"/>
          <w:sz w:val="24"/>
        </w:rPr>
        <w:t>年</w:t>
      </w:r>
      <w:r>
        <w:rPr>
          <w:rFonts w:hint="eastAsia"/>
          <w:sz w:val="24"/>
          <w:lang w:val="en-US" w:eastAsia="zh-CN"/>
        </w:rPr>
        <w:t>8</w:t>
      </w:r>
      <w:r>
        <w:rPr>
          <w:rFonts w:ascii="宋体" w:hAnsi="宋体" w:eastAsia="宋体"/>
          <w:sz w:val="24"/>
        </w:rPr>
        <w:t>月</w:t>
      </w:r>
      <w:r>
        <w:rPr>
          <w:rFonts w:hint="eastAsia"/>
          <w:sz w:val="24"/>
          <w:lang w:val="en-US" w:eastAsia="zh-CN"/>
        </w:rPr>
        <w:t>20</w:t>
      </w:r>
      <w:r>
        <w:rPr>
          <w:rFonts w:ascii="宋体" w:hAnsi="宋体" w:eastAsia="宋体"/>
          <w:sz w:val="24"/>
        </w:rPr>
        <w:t>日。</w:t>
      </w:r>
    </w:p>
    <w:p w14:paraId="67D5CF2C">
      <w:pPr>
        <w:spacing w:line="360" w:lineRule="auto"/>
      </w:pPr>
      <w:r>
        <w:rPr>
          <w:rFonts w:ascii="宋体" w:hAnsi="宋体" w:eastAsia="宋体"/>
          <w:sz w:val="24"/>
        </w:rPr>
        <w:t>联系方式：姓名 周石友  邮箱 66843927@qq.com</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0"/>
        <w:gridCol w:w="1753"/>
        <w:gridCol w:w="1760"/>
        <w:gridCol w:w="1880"/>
        <w:gridCol w:w="1120"/>
        <w:gridCol w:w="3730"/>
        <w:gridCol w:w="2553"/>
      </w:tblGrid>
      <w:tr w14:paraId="16087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shd w:val="clear" w:color="auto" w:fill="D9E2F3"/>
            <w:vAlign w:val="center"/>
          </w:tcPr>
          <w:p w14:paraId="29B0C710">
            <w:pPr>
              <w:spacing w:after="0" w:line="240" w:lineRule="auto"/>
              <w:jc w:val="center"/>
            </w:pPr>
            <w:r>
              <w:rPr>
                <w:rFonts w:ascii="宋体" w:hAnsi="宋体" w:eastAsia="宋体"/>
                <w:b/>
                <w:sz w:val="21"/>
              </w:rPr>
              <w:t>序号</w:t>
            </w:r>
          </w:p>
        </w:tc>
        <w:tc>
          <w:tcPr>
            <w:tcW w:w="665" w:type="pct"/>
            <w:shd w:val="clear" w:color="auto" w:fill="D9E2F3"/>
            <w:vAlign w:val="center"/>
          </w:tcPr>
          <w:p w14:paraId="5CCA1F18">
            <w:pPr>
              <w:spacing w:after="0" w:line="240" w:lineRule="auto"/>
              <w:jc w:val="center"/>
            </w:pPr>
            <w:r>
              <w:rPr>
                <w:rFonts w:ascii="宋体" w:hAnsi="宋体" w:eastAsia="宋体"/>
                <w:b/>
                <w:sz w:val="21"/>
              </w:rPr>
              <w:t>产品或服务名称</w:t>
            </w:r>
          </w:p>
        </w:tc>
        <w:tc>
          <w:tcPr>
            <w:tcW w:w="667" w:type="pct"/>
            <w:shd w:val="clear" w:color="auto" w:fill="D9E2F3"/>
            <w:vAlign w:val="center"/>
          </w:tcPr>
          <w:p w14:paraId="363161AA">
            <w:pPr>
              <w:spacing w:after="0" w:line="240" w:lineRule="auto"/>
              <w:jc w:val="center"/>
            </w:pPr>
            <w:r>
              <w:rPr>
                <w:rFonts w:ascii="宋体" w:hAnsi="宋体" w:eastAsia="宋体"/>
                <w:b/>
                <w:sz w:val="21"/>
              </w:rPr>
              <w:t>所执行标准编号</w:t>
            </w:r>
          </w:p>
        </w:tc>
        <w:tc>
          <w:tcPr>
            <w:tcW w:w="713" w:type="pct"/>
            <w:shd w:val="clear" w:color="auto" w:fill="D9E2F3"/>
            <w:vAlign w:val="center"/>
          </w:tcPr>
          <w:p w14:paraId="5AA072A2">
            <w:pPr>
              <w:spacing w:after="0" w:line="240" w:lineRule="auto"/>
              <w:jc w:val="center"/>
            </w:pPr>
            <w:r>
              <w:rPr>
                <w:rFonts w:ascii="宋体" w:hAnsi="宋体" w:eastAsia="宋体"/>
                <w:b/>
                <w:sz w:val="21"/>
              </w:rPr>
              <w:t>所执行标准名称</w:t>
            </w:r>
          </w:p>
        </w:tc>
        <w:tc>
          <w:tcPr>
            <w:tcW w:w="425" w:type="pct"/>
            <w:shd w:val="clear" w:color="auto" w:fill="D9E2F3"/>
            <w:vAlign w:val="center"/>
          </w:tcPr>
          <w:p w14:paraId="18120F80">
            <w:pPr>
              <w:spacing w:after="0" w:line="240" w:lineRule="auto"/>
              <w:jc w:val="center"/>
            </w:pPr>
            <w:r>
              <w:rPr>
                <w:rFonts w:ascii="宋体" w:hAnsi="宋体" w:eastAsia="宋体"/>
                <w:b/>
                <w:sz w:val="21"/>
              </w:rPr>
              <w:t>是否达标</w:t>
            </w:r>
          </w:p>
        </w:tc>
        <w:tc>
          <w:tcPr>
            <w:tcW w:w="1415" w:type="pct"/>
            <w:shd w:val="clear" w:color="auto" w:fill="D9E2F3"/>
            <w:vAlign w:val="center"/>
          </w:tcPr>
          <w:p w14:paraId="39387FBE">
            <w:pPr>
              <w:spacing w:after="0" w:line="240" w:lineRule="auto"/>
              <w:jc w:val="center"/>
            </w:pPr>
            <w:r>
              <w:rPr>
                <w:rFonts w:ascii="宋体" w:hAnsi="宋体" w:eastAsia="宋体"/>
                <w:b/>
                <w:sz w:val="21"/>
              </w:rPr>
              <w:t>功能指标和性能指标</w:t>
            </w:r>
          </w:p>
        </w:tc>
        <w:tc>
          <w:tcPr>
            <w:tcW w:w="968" w:type="pct"/>
            <w:shd w:val="clear" w:color="auto" w:fill="D9E2F3"/>
            <w:vAlign w:val="center"/>
          </w:tcPr>
          <w:p w14:paraId="568015D5">
            <w:pPr>
              <w:spacing w:after="0" w:line="240" w:lineRule="auto"/>
              <w:jc w:val="center"/>
            </w:pPr>
            <w:r>
              <w:rPr>
                <w:rFonts w:ascii="宋体" w:hAnsi="宋体" w:eastAsia="宋体"/>
                <w:b/>
                <w:sz w:val="21"/>
              </w:rPr>
              <w:t>备注</w:t>
            </w:r>
          </w:p>
        </w:tc>
      </w:tr>
      <w:tr w14:paraId="683A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restart"/>
            <w:vAlign w:val="center"/>
          </w:tcPr>
          <w:p w14:paraId="08D9B7BB">
            <w:pPr>
              <w:spacing w:after="0" w:line="240" w:lineRule="auto"/>
              <w:jc w:val="center"/>
            </w:pPr>
            <w:r>
              <w:rPr>
                <w:rFonts w:ascii="宋体" w:hAnsi="宋体" w:eastAsia="宋体"/>
                <w:sz w:val="18"/>
              </w:rPr>
              <w:t>1</w:t>
            </w:r>
          </w:p>
          <w:p w14:paraId="2AF3100D">
            <w:pPr>
              <w:spacing w:after="0" w:line="240" w:lineRule="auto"/>
              <w:jc w:val="center"/>
            </w:pPr>
          </w:p>
          <w:p w14:paraId="392CE541">
            <w:pPr>
              <w:spacing w:after="0" w:line="240" w:lineRule="auto"/>
              <w:jc w:val="center"/>
            </w:pPr>
          </w:p>
          <w:p w14:paraId="337CC10D">
            <w:pPr>
              <w:spacing w:after="0" w:line="240" w:lineRule="auto"/>
              <w:jc w:val="center"/>
            </w:pPr>
          </w:p>
          <w:p w14:paraId="4E4B3954">
            <w:pPr>
              <w:spacing w:after="0" w:line="240" w:lineRule="auto"/>
              <w:jc w:val="center"/>
            </w:pPr>
          </w:p>
          <w:p w14:paraId="06544F8C">
            <w:pPr>
              <w:spacing w:after="0" w:line="240" w:lineRule="auto"/>
              <w:jc w:val="center"/>
            </w:pPr>
          </w:p>
          <w:p w14:paraId="07B34F0A">
            <w:pPr>
              <w:spacing w:after="0" w:line="240" w:lineRule="auto"/>
              <w:jc w:val="center"/>
            </w:pPr>
          </w:p>
        </w:tc>
        <w:tc>
          <w:tcPr>
            <w:tcW w:w="665" w:type="pct"/>
            <w:vMerge w:val="restart"/>
            <w:vAlign w:val="center"/>
          </w:tcPr>
          <w:p w14:paraId="6B36AB81">
            <w:pPr>
              <w:spacing w:after="0" w:line="240" w:lineRule="auto"/>
              <w:jc w:val="left"/>
            </w:pPr>
            <w:r>
              <w:rPr>
                <w:rFonts w:ascii="宋体" w:hAnsi="宋体" w:eastAsia="宋体"/>
                <w:sz w:val="18"/>
              </w:rPr>
              <w:t>营业网点服务</w:t>
            </w:r>
          </w:p>
          <w:p w14:paraId="3E284570">
            <w:pPr>
              <w:spacing w:after="0" w:line="240" w:lineRule="auto"/>
              <w:jc w:val="left"/>
            </w:pPr>
          </w:p>
          <w:p w14:paraId="116D9253">
            <w:pPr>
              <w:spacing w:after="0" w:line="240" w:lineRule="auto"/>
              <w:jc w:val="left"/>
            </w:pPr>
          </w:p>
          <w:p w14:paraId="0B9660D8">
            <w:pPr>
              <w:spacing w:after="0" w:line="240" w:lineRule="auto"/>
              <w:jc w:val="left"/>
            </w:pPr>
          </w:p>
          <w:p w14:paraId="52ACC696">
            <w:pPr>
              <w:spacing w:after="0" w:line="240" w:lineRule="auto"/>
              <w:jc w:val="left"/>
            </w:pPr>
          </w:p>
          <w:p w14:paraId="022A601C">
            <w:pPr>
              <w:spacing w:after="0" w:line="240" w:lineRule="auto"/>
              <w:jc w:val="left"/>
            </w:pPr>
          </w:p>
          <w:p w14:paraId="4A3E3DCC">
            <w:pPr>
              <w:spacing w:after="0" w:line="240" w:lineRule="auto"/>
              <w:jc w:val="left"/>
            </w:pPr>
          </w:p>
        </w:tc>
        <w:tc>
          <w:tcPr>
            <w:tcW w:w="667" w:type="pct"/>
            <w:vAlign w:val="center"/>
          </w:tcPr>
          <w:p w14:paraId="426B6F4E">
            <w:pPr>
              <w:tabs>
                <w:tab w:val="left" w:pos="630"/>
              </w:tabs>
              <w:spacing w:after="0" w:line="240" w:lineRule="auto"/>
              <w:jc w:val="left"/>
            </w:pPr>
            <w:r>
              <w:rPr>
                <w:rFonts w:ascii="宋体" w:hAnsi="宋体" w:eastAsia="宋体"/>
                <w:sz w:val="18"/>
              </w:rPr>
              <w:t>Q_320724GNNSH 001-2024</w:t>
            </w:r>
          </w:p>
        </w:tc>
        <w:tc>
          <w:tcPr>
            <w:tcW w:w="713" w:type="pct"/>
            <w:vAlign w:val="center"/>
          </w:tcPr>
          <w:p w14:paraId="15175C6C">
            <w:pPr>
              <w:spacing w:after="0" w:line="240" w:lineRule="auto"/>
              <w:jc w:val="left"/>
            </w:pPr>
            <w:r>
              <w:rPr>
                <w:rFonts w:ascii="宋体" w:hAnsi="宋体" w:eastAsia="宋体"/>
                <w:sz w:val="18"/>
              </w:rPr>
              <w:t>江苏灌南农村商业银行营业网点服务基本要求</w:t>
            </w:r>
          </w:p>
        </w:tc>
        <w:tc>
          <w:tcPr>
            <w:tcW w:w="425" w:type="pct"/>
            <w:vAlign w:val="center"/>
          </w:tcPr>
          <w:p w14:paraId="1D3351D2">
            <w:pPr>
              <w:spacing w:after="0" w:line="240" w:lineRule="auto"/>
              <w:jc w:val="center"/>
            </w:pPr>
            <w:r>
              <w:rPr>
                <w:rFonts w:ascii="宋体" w:hAnsi="宋体" w:eastAsia="宋体"/>
                <w:sz w:val="18"/>
              </w:rPr>
              <w:t>是</w:t>
            </w:r>
          </w:p>
        </w:tc>
        <w:tc>
          <w:tcPr>
            <w:tcW w:w="1415" w:type="pct"/>
            <w:vAlign w:val="center"/>
          </w:tcPr>
          <w:p w14:paraId="6A0FE260">
            <w:pPr>
              <w:spacing w:after="0" w:line="240" w:lineRule="auto"/>
              <w:jc w:val="left"/>
            </w:pPr>
            <w:r>
              <w:rPr>
                <w:rFonts w:ascii="宋体" w:hAnsi="宋体" w:eastAsia="宋体"/>
                <w:sz w:val="18"/>
              </w:rPr>
              <w:t>https://www.qybz.org.cn/user/detail/5a576d73fa9f517494effce8b901952a83dfb64036a8a2d739d0146fc1e52f3a1667e8270e92630f8ddeed1ee4fdb693</w:t>
            </w:r>
          </w:p>
        </w:tc>
        <w:tc>
          <w:tcPr>
            <w:tcW w:w="968" w:type="pct"/>
            <w:vAlign w:val="center"/>
          </w:tcPr>
          <w:p w14:paraId="02E877D1">
            <w:pPr>
              <w:spacing w:after="0" w:line="240" w:lineRule="auto"/>
              <w:jc w:val="left"/>
            </w:pPr>
            <w:r>
              <w:rPr>
                <w:rFonts w:hint="eastAsia"/>
                <w:sz w:val="18"/>
                <w:szCs w:val="20"/>
              </w:rPr>
              <w:t>1. "以客户为中心、合规经营、真诚服务" 原则，提供各类网点服务；2.建设惠泽驿站，为户外劳动者提供饮水、充电、休憩等公益服务；3.常态化开展金融知识宣传、教育及员工培训；为小微、"三农" 等客群提供多元化普惠服务。</w:t>
            </w:r>
          </w:p>
        </w:tc>
      </w:tr>
      <w:tr w14:paraId="2D5C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186DF08B">
            <w:pPr>
              <w:spacing w:after="0" w:line="240" w:lineRule="auto"/>
            </w:pPr>
          </w:p>
        </w:tc>
        <w:tc>
          <w:tcPr>
            <w:tcW w:w="665" w:type="pct"/>
            <w:vMerge w:val="continue"/>
            <w:vAlign w:val="center"/>
          </w:tcPr>
          <w:p w14:paraId="294A64E6">
            <w:pPr>
              <w:spacing w:after="0" w:line="240" w:lineRule="auto"/>
            </w:pPr>
          </w:p>
        </w:tc>
        <w:tc>
          <w:tcPr>
            <w:tcW w:w="667" w:type="pct"/>
            <w:vAlign w:val="center"/>
          </w:tcPr>
          <w:p w14:paraId="116DCDCD">
            <w:pPr>
              <w:spacing w:after="0" w:line="240" w:lineRule="auto"/>
              <w:jc w:val="left"/>
            </w:pPr>
            <w:r>
              <w:rPr>
                <w:rFonts w:ascii="宋体" w:hAnsi="宋体" w:eastAsia="宋体"/>
                <w:sz w:val="18"/>
              </w:rPr>
              <w:t>GB/T 32320—2015</w:t>
            </w:r>
          </w:p>
        </w:tc>
        <w:tc>
          <w:tcPr>
            <w:tcW w:w="713" w:type="pct"/>
            <w:vAlign w:val="center"/>
          </w:tcPr>
          <w:p w14:paraId="0A810A4F">
            <w:pPr>
              <w:spacing w:after="0" w:line="240" w:lineRule="auto"/>
              <w:jc w:val="left"/>
            </w:pPr>
            <w:r>
              <w:rPr>
                <w:rFonts w:ascii="宋体" w:hAnsi="宋体" w:eastAsia="宋体"/>
                <w:sz w:val="18"/>
              </w:rPr>
              <w:t>银行营业网点服务基本要求</w:t>
            </w:r>
          </w:p>
        </w:tc>
        <w:tc>
          <w:tcPr>
            <w:tcW w:w="425" w:type="pct"/>
            <w:vAlign w:val="center"/>
          </w:tcPr>
          <w:p w14:paraId="6167229F">
            <w:pPr>
              <w:spacing w:after="0" w:line="240" w:lineRule="auto"/>
              <w:jc w:val="center"/>
            </w:pPr>
            <w:r>
              <w:rPr>
                <w:rFonts w:ascii="宋体" w:hAnsi="宋体" w:eastAsia="宋体"/>
                <w:sz w:val="18"/>
              </w:rPr>
              <w:t>是</w:t>
            </w:r>
          </w:p>
        </w:tc>
        <w:tc>
          <w:tcPr>
            <w:tcW w:w="1415" w:type="pct"/>
            <w:vAlign w:val="center"/>
          </w:tcPr>
          <w:p w14:paraId="404A85B5">
            <w:pPr>
              <w:spacing w:after="0" w:line="240" w:lineRule="auto"/>
            </w:pPr>
          </w:p>
        </w:tc>
        <w:tc>
          <w:tcPr>
            <w:tcW w:w="968" w:type="pct"/>
            <w:vAlign w:val="center"/>
          </w:tcPr>
          <w:p w14:paraId="30C4D503">
            <w:pPr>
              <w:spacing w:after="0" w:line="240" w:lineRule="auto"/>
              <w:jc w:val="left"/>
            </w:pPr>
            <w:r>
              <w:rPr>
                <w:rFonts w:ascii="宋体" w:hAnsi="宋体" w:eastAsia="宋体"/>
                <w:sz w:val="18"/>
              </w:rPr>
              <w:t xml:space="preserve"> </w:t>
            </w:r>
          </w:p>
        </w:tc>
      </w:tr>
      <w:tr w14:paraId="6E9B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3C144D16">
            <w:pPr>
              <w:spacing w:after="0" w:line="240" w:lineRule="auto"/>
            </w:pPr>
          </w:p>
        </w:tc>
        <w:tc>
          <w:tcPr>
            <w:tcW w:w="665" w:type="pct"/>
            <w:vMerge w:val="continue"/>
            <w:vAlign w:val="center"/>
          </w:tcPr>
          <w:p w14:paraId="602F616F">
            <w:pPr>
              <w:spacing w:after="0" w:line="240" w:lineRule="auto"/>
            </w:pPr>
          </w:p>
        </w:tc>
        <w:tc>
          <w:tcPr>
            <w:tcW w:w="667" w:type="pct"/>
            <w:vAlign w:val="center"/>
          </w:tcPr>
          <w:p w14:paraId="22947834">
            <w:pPr>
              <w:spacing w:after="0" w:line="240" w:lineRule="auto"/>
              <w:jc w:val="left"/>
            </w:pPr>
            <w:r>
              <w:rPr>
                <w:rFonts w:ascii="宋体" w:hAnsi="宋体" w:eastAsia="宋体"/>
                <w:sz w:val="18"/>
              </w:rPr>
              <w:t>GB/T 41218—2021</w:t>
            </w:r>
          </w:p>
        </w:tc>
        <w:tc>
          <w:tcPr>
            <w:tcW w:w="713" w:type="pct"/>
            <w:vAlign w:val="center"/>
          </w:tcPr>
          <w:p w14:paraId="4A4E5C64">
            <w:pPr>
              <w:spacing w:after="0" w:line="240" w:lineRule="auto"/>
              <w:jc w:val="left"/>
            </w:pPr>
            <w:r>
              <w:rPr>
                <w:rFonts w:ascii="宋体" w:hAnsi="宋体" w:eastAsia="宋体"/>
                <w:sz w:val="18"/>
              </w:rPr>
              <w:t>银行营业网点无障碍环境建设规范</w:t>
            </w:r>
          </w:p>
        </w:tc>
        <w:tc>
          <w:tcPr>
            <w:tcW w:w="425" w:type="pct"/>
            <w:vAlign w:val="center"/>
          </w:tcPr>
          <w:p w14:paraId="2CF8A45C">
            <w:pPr>
              <w:spacing w:after="0" w:line="240" w:lineRule="auto"/>
              <w:jc w:val="center"/>
            </w:pPr>
            <w:r>
              <w:rPr>
                <w:rFonts w:ascii="宋体" w:hAnsi="宋体" w:eastAsia="宋体"/>
                <w:sz w:val="18"/>
              </w:rPr>
              <w:t>是</w:t>
            </w:r>
          </w:p>
        </w:tc>
        <w:tc>
          <w:tcPr>
            <w:tcW w:w="1415" w:type="pct"/>
            <w:vAlign w:val="center"/>
          </w:tcPr>
          <w:p w14:paraId="5E66C5E3">
            <w:pPr>
              <w:spacing w:after="0" w:line="240" w:lineRule="auto"/>
            </w:pPr>
          </w:p>
        </w:tc>
        <w:tc>
          <w:tcPr>
            <w:tcW w:w="968" w:type="pct"/>
            <w:vAlign w:val="center"/>
          </w:tcPr>
          <w:p w14:paraId="5F158638">
            <w:pPr>
              <w:spacing w:after="0" w:line="240" w:lineRule="auto"/>
              <w:jc w:val="left"/>
            </w:pPr>
            <w:r>
              <w:rPr>
                <w:rFonts w:ascii="宋体" w:hAnsi="宋体" w:eastAsia="宋体"/>
                <w:sz w:val="18"/>
              </w:rPr>
              <w:t xml:space="preserve"> </w:t>
            </w:r>
          </w:p>
        </w:tc>
      </w:tr>
      <w:tr w14:paraId="5A85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60655DB4">
            <w:pPr>
              <w:spacing w:after="0" w:line="240" w:lineRule="auto"/>
            </w:pPr>
          </w:p>
        </w:tc>
        <w:tc>
          <w:tcPr>
            <w:tcW w:w="665" w:type="pct"/>
            <w:vMerge w:val="continue"/>
            <w:vAlign w:val="center"/>
          </w:tcPr>
          <w:p w14:paraId="4F7395AF">
            <w:pPr>
              <w:spacing w:after="0" w:line="240" w:lineRule="auto"/>
            </w:pPr>
          </w:p>
        </w:tc>
        <w:tc>
          <w:tcPr>
            <w:tcW w:w="667" w:type="pct"/>
            <w:vAlign w:val="center"/>
          </w:tcPr>
          <w:p w14:paraId="273E8A2E">
            <w:pPr>
              <w:spacing w:after="0" w:line="240" w:lineRule="auto"/>
              <w:jc w:val="left"/>
            </w:pPr>
            <w:r>
              <w:rPr>
                <w:rFonts w:ascii="宋体" w:hAnsi="宋体" w:eastAsia="宋体"/>
                <w:sz w:val="18"/>
              </w:rPr>
              <w:t>GB/T 41461—2022</w:t>
            </w:r>
          </w:p>
        </w:tc>
        <w:tc>
          <w:tcPr>
            <w:tcW w:w="713" w:type="pct"/>
            <w:vAlign w:val="center"/>
          </w:tcPr>
          <w:p w14:paraId="298623DD">
            <w:pPr>
              <w:spacing w:after="0" w:line="240" w:lineRule="auto"/>
              <w:jc w:val="left"/>
            </w:pPr>
            <w:r>
              <w:rPr>
                <w:rFonts w:ascii="宋体" w:hAnsi="宋体" w:eastAsia="宋体"/>
                <w:sz w:val="18"/>
              </w:rPr>
              <w:t>自助银行网点服务要求</w:t>
            </w:r>
          </w:p>
        </w:tc>
        <w:tc>
          <w:tcPr>
            <w:tcW w:w="425" w:type="pct"/>
            <w:vAlign w:val="center"/>
          </w:tcPr>
          <w:p w14:paraId="5C894F11">
            <w:pPr>
              <w:spacing w:after="0" w:line="240" w:lineRule="auto"/>
              <w:jc w:val="center"/>
            </w:pPr>
            <w:r>
              <w:rPr>
                <w:rFonts w:ascii="宋体" w:hAnsi="宋体" w:eastAsia="宋体"/>
                <w:sz w:val="18"/>
              </w:rPr>
              <w:t>是</w:t>
            </w:r>
          </w:p>
        </w:tc>
        <w:tc>
          <w:tcPr>
            <w:tcW w:w="1415" w:type="pct"/>
            <w:vAlign w:val="center"/>
          </w:tcPr>
          <w:p w14:paraId="481E5589">
            <w:pPr>
              <w:spacing w:after="0" w:line="240" w:lineRule="auto"/>
            </w:pPr>
          </w:p>
        </w:tc>
        <w:tc>
          <w:tcPr>
            <w:tcW w:w="968" w:type="pct"/>
            <w:vAlign w:val="center"/>
          </w:tcPr>
          <w:p w14:paraId="4CC002F0">
            <w:pPr>
              <w:spacing w:after="0" w:line="240" w:lineRule="auto"/>
              <w:jc w:val="left"/>
            </w:pPr>
            <w:r>
              <w:rPr>
                <w:rFonts w:ascii="宋体" w:hAnsi="宋体" w:eastAsia="宋体"/>
                <w:sz w:val="18"/>
              </w:rPr>
              <w:t xml:space="preserve"> </w:t>
            </w:r>
          </w:p>
        </w:tc>
      </w:tr>
      <w:tr w14:paraId="0F25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05B84182">
            <w:pPr>
              <w:spacing w:after="0" w:line="240" w:lineRule="auto"/>
            </w:pPr>
          </w:p>
        </w:tc>
        <w:tc>
          <w:tcPr>
            <w:tcW w:w="665" w:type="pct"/>
            <w:vMerge w:val="continue"/>
            <w:vAlign w:val="center"/>
          </w:tcPr>
          <w:p w14:paraId="710BAA86">
            <w:pPr>
              <w:spacing w:after="0" w:line="240" w:lineRule="auto"/>
            </w:pPr>
          </w:p>
        </w:tc>
        <w:tc>
          <w:tcPr>
            <w:tcW w:w="667" w:type="pct"/>
            <w:vAlign w:val="center"/>
          </w:tcPr>
          <w:p w14:paraId="2C5E5FC3">
            <w:pPr>
              <w:spacing w:after="0" w:line="240" w:lineRule="auto"/>
              <w:jc w:val="left"/>
            </w:pPr>
            <w:r>
              <w:rPr>
                <w:rFonts w:ascii="宋体" w:hAnsi="宋体" w:eastAsia="宋体"/>
                <w:sz w:val="18"/>
              </w:rPr>
              <w:t>JR/T 0171—2020</w:t>
            </w:r>
          </w:p>
        </w:tc>
        <w:tc>
          <w:tcPr>
            <w:tcW w:w="713" w:type="pct"/>
            <w:vAlign w:val="center"/>
          </w:tcPr>
          <w:p w14:paraId="5698ABE9">
            <w:pPr>
              <w:spacing w:after="0" w:line="240" w:lineRule="auto"/>
              <w:jc w:val="left"/>
            </w:pPr>
            <w:r>
              <w:rPr>
                <w:rFonts w:ascii="宋体" w:hAnsi="宋体" w:eastAsia="宋体"/>
                <w:sz w:val="18"/>
              </w:rPr>
              <w:t>个人金融信息保护技术规范</w:t>
            </w:r>
          </w:p>
        </w:tc>
        <w:tc>
          <w:tcPr>
            <w:tcW w:w="425" w:type="pct"/>
            <w:vAlign w:val="center"/>
          </w:tcPr>
          <w:p w14:paraId="6A36576F">
            <w:pPr>
              <w:spacing w:after="0" w:line="240" w:lineRule="auto"/>
              <w:jc w:val="center"/>
            </w:pPr>
            <w:r>
              <w:rPr>
                <w:rFonts w:ascii="宋体" w:hAnsi="宋体" w:eastAsia="宋体"/>
                <w:sz w:val="18"/>
              </w:rPr>
              <w:t>是</w:t>
            </w:r>
          </w:p>
        </w:tc>
        <w:tc>
          <w:tcPr>
            <w:tcW w:w="1415" w:type="pct"/>
            <w:vAlign w:val="center"/>
          </w:tcPr>
          <w:p w14:paraId="6835B916">
            <w:pPr>
              <w:spacing w:after="0" w:line="240" w:lineRule="auto"/>
            </w:pPr>
          </w:p>
        </w:tc>
        <w:tc>
          <w:tcPr>
            <w:tcW w:w="968" w:type="pct"/>
            <w:vAlign w:val="center"/>
          </w:tcPr>
          <w:p w14:paraId="2F7A6BE2">
            <w:pPr>
              <w:spacing w:after="0" w:line="240" w:lineRule="auto"/>
              <w:jc w:val="left"/>
            </w:pPr>
            <w:r>
              <w:rPr>
                <w:rFonts w:ascii="宋体" w:hAnsi="宋体" w:eastAsia="宋体"/>
                <w:sz w:val="18"/>
              </w:rPr>
              <w:t xml:space="preserve"> </w:t>
            </w:r>
          </w:p>
        </w:tc>
      </w:tr>
      <w:tr w14:paraId="7359F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406FDB70">
            <w:pPr>
              <w:spacing w:after="0" w:line="240" w:lineRule="auto"/>
            </w:pPr>
          </w:p>
        </w:tc>
        <w:tc>
          <w:tcPr>
            <w:tcW w:w="665" w:type="pct"/>
            <w:vMerge w:val="continue"/>
            <w:vAlign w:val="center"/>
          </w:tcPr>
          <w:p w14:paraId="776A4A8E">
            <w:pPr>
              <w:spacing w:after="0" w:line="240" w:lineRule="auto"/>
            </w:pPr>
          </w:p>
        </w:tc>
        <w:tc>
          <w:tcPr>
            <w:tcW w:w="667" w:type="pct"/>
            <w:vAlign w:val="center"/>
          </w:tcPr>
          <w:p w14:paraId="7E2D2401">
            <w:pPr>
              <w:spacing w:after="0" w:line="240" w:lineRule="auto"/>
              <w:jc w:val="left"/>
            </w:pPr>
            <w:r>
              <w:rPr>
                <w:rFonts w:ascii="宋体" w:hAnsi="宋体" w:eastAsia="宋体"/>
                <w:sz w:val="18"/>
              </w:rPr>
              <w:t>JR/T 0253—2022</w:t>
            </w:r>
          </w:p>
        </w:tc>
        <w:tc>
          <w:tcPr>
            <w:tcW w:w="713" w:type="pct"/>
            <w:vAlign w:val="center"/>
          </w:tcPr>
          <w:p w14:paraId="101B3D9C">
            <w:pPr>
              <w:spacing w:after="0" w:line="240" w:lineRule="auto"/>
              <w:jc w:val="left"/>
            </w:pPr>
            <w:r>
              <w:rPr>
                <w:rFonts w:ascii="宋体" w:hAnsi="宋体" w:eastAsia="宋体"/>
                <w:sz w:val="18"/>
              </w:rPr>
              <w:t>金融服务生僻字处理指南</w:t>
            </w:r>
          </w:p>
        </w:tc>
        <w:tc>
          <w:tcPr>
            <w:tcW w:w="425" w:type="pct"/>
            <w:vAlign w:val="center"/>
          </w:tcPr>
          <w:p w14:paraId="165A7A92">
            <w:pPr>
              <w:spacing w:after="0" w:line="240" w:lineRule="auto"/>
              <w:jc w:val="center"/>
            </w:pPr>
            <w:r>
              <w:rPr>
                <w:rFonts w:ascii="宋体" w:hAnsi="宋体" w:eastAsia="宋体"/>
                <w:sz w:val="18"/>
              </w:rPr>
              <w:t>是</w:t>
            </w:r>
          </w:p>
        </w:tc>
        <w:tc>
          <w:tcPr>
            <w:tcW w:w="1415" w:type="pct"/>
            <w:vAlign w:val="center"/>
          </w:tcPr>
          <w:p w14:paraId="0C891B61">
            <w:pPr>
              <w:spacing w:after="0" w:line="240" w:lineRule="auto"/>
            </w:pPr>
          </w:p>
        </w:tc>
        <w:tc>
          <w:tcPr>
            <w:tcW w:w="968" w:type="pct"/>
            <w:vAlign w:val="center"/>
          </w:tcPr>
          <w:p w14:paraId="77C90484">
            <w:pPr>
              <w:spacing w:after="0" w:line="240" w:lineRule="auto"/>
              <w:jc w:val="left"/>
            </w:pPr>
            <w:r>
              <w:rPr>
                <w:rFonts w:ascii="宋体" w:hAnsi="宋体" w:eastAsia="宋体"/>
                <w:sz w:val="18"/>
              </w:rPr>
              <w:t xml:space="preserve"> </w:t>
            </w:r>
          </w:p>
        </w:tc>
      </w:tr>
      <w:tr w14:paraId="31B1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37FC2859">
            <w:pPr>
              <w:spacing w:after="0" w:line="240" w:lineRule="auto"/>
            </w:pPr>
          </w:p>
        </w:tc>
        <w:tc>
          <w:tcPr>
            <w:tcW w:w="665" w:type="pct"/>
            <w:vMerge w:val="continue"/>
            <w:vAlign w:val="center"/>
          </w:tcPr>
          <w:p w14:paraId="0348251E">
            <w:pPr>
              <w:spacing w:after="0" w:line="240" w:lineRule="auto"/>
            </w:pPr>
          </w:p>
        </w:tc>
        <w:tc>
          <w:tcPr>
            <w:tcW w:w="667" w:type="pct"/>
            <w:vAlign w:val="center"/>
          </w:tcPr>
          <w:p w14:paraId="556D69ED">
            <w:pPr>
              <w:spacing w:after="0" w:line="240" w:lineRule="auto"/>
              <w:jc w:val="left"/>
            </w:pPr>
            <w:r>
              <w:rPr>
                <w:rFonts w:ascii="宋体" w:hAnsi="宋体" w:eastAsia="宋体"/>
                <w:sz w:val="18"/>
              </w:rPr>
              <w:t>T/BFIA 012—2022</w:t>
            </w:r>
          </w:p>
        </w:tc>
        <w:tc>
          <w:tcPr>
            <w:tcW w:w="713" w:type="pct"/>
            <w:vAlign w:val="center"/>
          </w:tcPr>
          <w:p w14:paraId="3CA69DB3">
            <w:pPr>
              <w:spacing w:after="0" w:line="240" w:lineRule="auto"/>
              <w:jc w:val="left"/>
            </w:pPr>
            <w:r>
              <w:rPr>
                <w:rFonts w:ascii="宋体" w:hAnsi="宋体" w:eastAsia="宋体"/>
                <w:sz w:val="18"/>
              </w:rPr>
              <w:t>银行营业网点适老服务要求</w:t>
            </w:r>
          </w:p>
        </w:tc>
        <w:tc>
          <w:tcPr>
            <w:tcW w:w="425" w:type="pct"/>
            <w:vAlign w:val="center"/>
          </w:tcPr>
          <w:p w14:paraId="353B0E47">
            <w:pPr>
              <w:spacing w:after="0" w:line="240" w:lineRule="auto"/>
              <w:jc w:val="center"/>
            </w:pPr>
            <w:r>
              <w:rPr>
                <w:rFonts w:ascii="宋体" w:hAnsi="宋体" w:eastAsia="宋体"/>
                <w:sz w:val="18"/>
              </w:rPr>
              <w:t>是</w:t>
            </w:r>
          </w:p>
        </w:tc>
        <w:tc>
          <w:tcPr>
            <w:tcW w:w="1415" w:type="pct"/>
            <w:vAlign w:val="center"/>
          </w:tcPr>
          <w:p w14:paraId="73BE1D04">
            <w:pPr>
              <w:spacing w:after="0" w:line="240" w:lineRule="auto"/>
            </w:pPr>
          </w:p>
        </w:tc>
        <w:tc>
          <w:tcPr>
            <w:tcW w:w="968" w:type="pct"/>
            <w:vAlign w:val="center"/>
          </w:tcPr>
          <w:p w14:paraId="72B5F67B">
            <w:pPr>
              <w:spacing w:after="0" w:line="240" w:lineRule="auto"/>
              <w:jc w:val="left"/>
            </w:pPr>
            <w:r>
              <w:rPr>
                <w:rFonts w:ascii="宋体" w:hAnsi="宋体" w:eastAsia="宋体"/>
                <w:sz w:val="18"/>
              </w:rPr>
              <w:t xml:space="preserve"> </w:t>
            </w:r>
          </w:p>
        </w:tc>
      </w:tr>
      <w:tr w14:paraId="4EC3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restart"/>
            <w:vAlign w:val="center"/>
          </w:tcPr>
          <w:p w14:paraId="39EE3573">
            <w:pPr>
              <w:spacing w:after="0" w:line="240" w:lineRule="auto"/>
              <w:jc w:val="center"/>
            </w:pPr>
            <w:r>
              <w:rPr>
                <w:rFonts w:ascii="宋体" w:hAnsi="宋体" w:eastAsia="宋体"/>
                <w:sz w:val="18"/>
              </w:rPr>
              <w:t>2</w:t>
            </w:r>
          </w:p>
          <w:p w14:paraId="4BAFE2A7">
            <w:pPr>
              <w:spacing w:after="0" w:line="240" w:lineRule="auto"/>
              <w:jc w:val="center"/>
            </w:pPr>
          </w:p>
          <w:p w14:paraId="212CAA64">
            <w:pPr>
              <w:spacing w:after="0" w:line="240" w:lineRule="auto"/>
              <w:jc w:val="center"/>
            </w:pPr>
          </w:p>
          <w:p w14:paraId="075A4797">
            <w:pPr>
              <w:spacing w:after="0" w:line="240" w:lineRule="auto"/>
              <w:jc w:val="center"/>
            </w:pPr>
          </w:p>
          <w:p w14:paraId="1C42897E">
            <w:pPr>
              <w:spacing w:after="0" w:line="240" w:lineRule="auto"/>
              <w:jc w:val="center"/>
            </w:pPr>
          </w:p>
        </w:tc>
        <w:tc>
          <w:tcPr>
            <w:tcW w:w="665" w:type="pct"/>
            <w:vMerge w:val="restart"/>
            <w:vAlign w:val="center"/>
          </w:tcPr>
          <w:p w14:paraId="17F36482">
            <w:pPr>
              <w:spacing w:after="0" w:line="240" w:lineRule="auto"/>
              <w:jc w:val="left"/>
            </w:pPr>
            <w:r>
              <w:rPr>
                <w:rFonts w:ascii="宋体" w:hAnsi="宋体" w:eastAsia="宋体"/>
                <w:sz w:val="18"/>
              </w:rPr>
              <w:t>网上银行服务</w:t>
            </w:r>
          </w:p>
          <w:p w14:paraId="56480BAB">
            <w:pPr>
              <w:spacing w:after="0" w:line="240" w:lineRule="auto"/>
              <w:jc w:val="left"/>
            </w:pPr>
          </w:p>
          <w:p w14:paraId="74D5A07F">
            <w:pPr>
              <w:spacing w:after="0" w:line="240" w:lineRule="auto"/>
              <w:jc w:val="left"/>
            </w:pPr>
          </w:p>
          <w:p w14:paraId="35C3687B">
            <w:pPr>
              <w:spacing w:after="0" w:line="240" w:lineRule="auto"/>
              <w:jc w:val="left"/>
            </w:pPr>
          </w:p>
          <w:p w14:paraId="5F8409C9">
            <w:pPr>
              <w:spacing w:after="0" w:line="240" w:lineRule="auto"/>
              <w:jc w:val="left"/>
            </w:pPr>
          </w:p>
        </w:tc>
        <w:tc>
          <w:tcPr>
            <w:tcW w:w="667" w:type="pct"/>
            <w:vAlign w:val="center"/>
          </w:tcPr>
          <w:p w14:paraId="0FAA9C71">
            <w:pPr>
              <w:spacing w:after="0" w:line="240" w:lineRule="auto"/>
              <w:jc w:val="left"/>
            </w:pPr>
            <w:r>
              <w:rPr>
                <w:rFonts w:ascii="宋体" w:hAnsi="宋体" w:eastAsia="宋体"/>
                <w:sz w:val="18"/>
              </w:rPr>
              <w:t>Q_320724GNNSH 003-2024</w:t>
            </w:r>
          </w:p>
        </w:tc>
        <w:tc>
          <w:tcPr>
            <w:tcW w:w="713" w:type="pct"/>
            <w:vAlign w:val="center"/>
          </w:tcPr>
          <w:p w14:paraId="6300F7E6">
            <w:pPr>
              <w:spacing w:after="0" w:line="240" w:lineRule="auto"/>
              <w:jc w:val="left"/>
            </w:pPr>
            <w:r>
              <w:rPr>
                <w:rFonts w:ascii="宋体" w:hAnsi="宋体" w:eastAsia="宋体"/>
                <w:sz w:val="18"/>
              </w:rPr>
              <w:t>江苏灌南农村商业银行网上银行服务标准</w:t>
            </w:r>
          </w:p>
        </w:tc>
        <w:tc>
          <w:tcPr>
            <w:tcW w:w="425" w:type="pct"/>
            <w:vAlign w:val="center"/>
          </w:tcPr>
          <w:p w14:paraId="705DEE27">
            <w:pPr>
              <w:spacing w:after="0" w:line="240" w:lineRule="auto"/>
              <w:jc w:val="center"/>
            </w:pPr>
            <w:r>
              <w:rPr>
                <w:rFonts w:ascii="宋体" w:hAnsi="宋体" w:eastAsia="宋体"/>
                <w:sz w:val="18"/>
              </w:rPr>
              <w:t>是</w:t>
            </w:r>
          </w:p>
        </w:tc>
        <w:tc>
          <w:tcPr>
            <w:tcW w:w="1415" w:type="pct"/>
            <w:vAlign w:val="center"/>
          </w:tcPr>
          <w:p w14:paraId="6E663CB3">
            <w:pPr>
              <w:spacing w:after="0" w:line="240" w:lineRule="auto"/>
              <w:jc w:val="left"/>
            </w:pPr>
            <w:r>
              <w:rPr>
                <w:rFonts w:ascii="宋体" w:hAnsi="宋体" w:eastAsia="宋体"/>
                <w:sz w:val="18"/>
              </w:rPr>
              <w:t>https://www.qybz.org.cn/user/detail/4fa7deb2ba94e14c32adacd6b7aa914e88da33f1748db0fb6d17e9b1fa1312031667e8270e92630f8ddeed1ee4fdb693</w:t>
            </w:r>
          </w:p>
        </w:tc>
        <w:tc>
          <w:tcPr>
            <w:tcW w:w="968" w:type="pct"/>
            <w:vAlign w:val="center"/>
          </w:tcPr>
          <w:p w14:paraId="3B0B8996">
            <w:pPr>
              <w:spacing w:after="0" w:line="240" w:lineRule="auto"/>
              <w:jc w:val="left"/>
            </w:pPr>
            <w:r>
              <w:rPr>
                <w:rFonts w:hint="eastAsia"/>
                <w:sz w:val="18"/>
                <w:szCs w:val="20"/>
              </w:rPr>
              <w:t>1.支持 7*24 小时不间断运行，保障网上银行系统稳定可靠，系统可用率大于 99.99%；2. 网上银行页面平均响应时间≤5 秒，线上交易成功率≥99.9%，人工客服服务时间满足 7*24 小时。</w:t>
            </w:r>
          </w:p>
        </w:tc>
      </w:tr>
      <w:tr w14:paraId="17B48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0C9F25C3">
            <w:pPr>
              <w:spacing w:after="0" w:line="240" w:lineRule="auto"/>
            </w:pPr>
          </w:p>
        </w:tc>
        <w:tc>
          <w:tcPr>
            <w:tcW w:w="665" w:type="pct"/>
            <w:vMerge w:val="continue"/>
            <w:vAlign w:val="center"/>
          </w:tcPr>
          <w:p w14:paraId="17281730">
            <w:pPr>
              <w:spacing w:after="0" w:line="240" w:lineRule="auto"/>
            </w:pPr>
          </w:p>
        </w:tc>
        <w:tc>
          <w:tcPr>
            <w:tcW w:w="667" w:type="pct"/>
            <w:vAlign w:val="center"/>
          </w:tcPr>
          <w:p w14:paraId="4C1228A2">
            <w:pPr>
              <w:spacing w:after="0" w:line="240" w:lineRule="auto"/>
              <w:jc w:val="left"/>
            </w:pPr>
            <w:r>
              <w:rPr>
                <w:rFonts w:ascii="宋体" w:hAnsi="宋体" w:eastAsia="宋体"/>
                <w:sz w:val="18"/>
              </w:rPr>
              <w:t>GB/T 32325—2015</w:t>
            </w:r>
          </w:p>
        </w:tc>
        <w:tc>
          <w:tcPr>
            <w:tcW w:w="713" w:type="pct"/>
            <w:vAlign w:val="center"/>
          </w:tcPr>
          <w:p w14:paraId="4DA53057">
            <w:pPr>
              <w:spacing w:after="0" w:line="240" w:lineRule="auto"/>
              <w:jc w:val="left"/>
            </w:pPr>
            <w:r>
              <w:rPr>
                <w:rFonts w:ascii="宋体" w:hAnsi="宋体" w:eastAsia="宋体"/>
                <w:sz w:val="18"/>
              </w:rPr>
              <w:t>《银行行业客户服务中心基本要求》</w:t>
            </w:r>
          </w:p>
        </w:tc>
        <w:tc>
          <w:tcPr>
            <w:tcW w:w="425" w:type="pct"/>
            <w:vAlign w:val="center"/>
          </w:tcPr>
          <w:p w14:paraId="2BA30BC6">
            <w:pPr>
              <w:spacing w:after="0" w:line="240" w:lineRule="auto"/>
              <w:jc w:val="center"/>
            </w:pPr>
            <w:r>
              <w:rPr>
                <w:rFonts w:ascii="宋体" w:hAnsi="宋体" w:eastAsia="宋体"/>
                <w:sz w:val="18"/>
              </w:rPr>
              <w:t>是</w:t>
            </w:r>
          </w:p>
        </w:tc>
        <w:tc>
          <w:tcPr>
            <w:tcW w:w="1415" w:type="pct"/>
            <w:vAlign w:val="center"/>
          </w:tcPr>
          <w:p w14:paraId="70FEA0B6">
            <w:pPr>
              <w:spacing w:after="0" w:line="240" w:lineRule="auto"/>
            </w:pPr>
          </w:p>
        </w:tc>
        <w:tc>
          <w:tcPr>
            <w:tcW w:w="968" w:type="pct"/>
            <w:vAlign w:val="center"/>
          </w:tcPr>
          <w:p w14:paraId="2AD7FA9F">
            <w:pPr>
              <w:spacing w:after="0" w:line="240" w:lineRule="auto"/>
              <w:jc w:val="left"/>
            </w:pPr>
          </w:p>
        </w:tc>
      </w:tr>
      <w:tr w14:paraId="61F3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2492F211">
            <w:pPr>
              <w:spacing w:after="0" w:line="240" w:lineRule="auto"/>
            </w:pPr>
          </w:p>
        </w:tc>
        <w:tc>
          <w:tcPr>
            <w:tcW w:w="665" w:type="pct"/>
            <w:vMerge w:val="continue"/>
            <w:vAlign w:val="center"/>
          </w:tcPr>
          <w:p w14:paraId="7BD3E7DB">
            <w:pPr>
              <w:spacing w:after="0" w:line="240" w:lineRule="auto"/>
            </w:pPr>
          </w:p>
        </w:tc>
        <w:tc>
          <w:tcPr>
            <w:tcW w:w="667" w:type="pct"/>
            <w:vAlign w:val="center"/>
          </w:tcPr>
          <w:p w14:paraId="0C7ECC83">
            <w:pPr>
              <w:spacing w:after="0" w:line="240" w:lineRule="auto"/>
              <w:jc w:val="left"/>
            </w:pPr>
            <w:r>
              <w:rPr>
                <w:rFonts w:ascii="宋体" w:hAnsi="宋体" w:eastAsia="宋体"/>
                <w:sz w:val="18"/>
              </w:rPr>
              <w:t>GB/T 35273—2017</w:t>
            </w:r>
          </w:p>
        </w:tc>
        <w:tc>
          <w:tcPr>
            <w:tcW w:w="713" w:type="pct"/>
            <w:vAlign w:val="center"/>
          </w:tcPr>
          <w:p w14:paraId="0BDEC20E">
            <w:pPr>
              <w:spacing w:after="0" w:line="240" w:lineRule="auto"/>
              <w:jc w:val="left"/>
            </w:pPr>
            <w:r>
              <w:rPr>
                <w:rFonts w:ascii="宋体" w:hAnsi="宋体" w:eastAsia="宋体"/>
                <w:sz w:val="18"/>
              </w:rPr>
              <w:t>《信息安全技术个人信息安全规范》</w:t>
            </w:r>
          </w:p>
        </w:tc>
        <w:tc>
          <w:tcPr>
            <w:tcW w:w="425" w:type="pct"/>
            <w:vAlign w:val="center"/>
          </w:tcPr>
          <w:p w14:paraId="73E381C6">
            <w:pPr>
              <w:spacing w:after="0" w:line="240" w:lineRule="auto"/>
              <w:jc w:val="center"/>
            </w:pPr>
            <w:r>
              <w:rPr>
                <w:rFonts w:ascii="宋体" w:hAnsi="宋体" w:eastAsia="宋体"/>
                <w:sz w:val="18"/>
              </w:rPr>
              <w:t>是</w:t>
            </w:r>
          </w:p>
        </w:tc>
        <w:tc>
          <w:tcPr>
            <w:tcW w:w="1415" w:type="pct"/>
            <w:vAlign w:val="center"/>
          </w:tcPr>
          <w:p w14:paraId="1C6B01C1">
            <w:pPr>
              <w:spacing w:after="0" w:line="240" w:lineRule="auto"/>
            </w:pPr>
          </w:p>
        </w:tc>
        <w:tc>
          <w:tcPr>
            <w:tcW w:w="968" w:type="pct"/>
            <w:vAlign w:val="center"/>
          </w:tcPr>
          <w:p w14:paraId="6AB7E2EA">
            <w:pPr>
              <w:spacing w:after="0" w:line="240" w:lineRule="auto"/>
              <w:jc w:val="left"/>
            </w:pPr>
          </w:p>
        </w:tc>
      </w:tr>
      <w:tr w14:paraId="0CDE2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26102091">
            <w:pPr>
              <w:spacing w:after="0" w:line="240" w:lineRule="auto"/>
            </w:pPr>
          </w:p>
        </w:tc>
        <w:tc>
          <w:tcPr>
            <w:tcW w:w="665" w:type="pct"/>
            <w:vMerge w:val="continue"/>
            <w:vAlign w:val="center"/>
          </w:tcPr>
          <w:p w14:paraId="70D8909F">
            <w:pPr>
              <w:spacing w:after="0" w:line="240" w:lineRule="auto"/>
            </w:pPr>
          </w:p>
        </w:tc>
        <w:tc>
          <w:tcPr>
            <w:tcW w:w="667" w:type="pct"/>
            <w:vAlign w:val="center"/>
          </w:tcPr>
          <w:p w14:paraId="570D52E5">
            <w:pPr>
              <w:spacing w:after="0" w:line="240" w:lineRule="auto"/>
              <w:jc w:val="left"/>
            </w:pPr>
            <w:r>
              <w:rPr>
                <w:rFonts w:ascii="宋体" w:hAnsi="宋体" w:eastAsia="宋体"/>
                <w:sz w:val="18"/>
              </w:rPr>
              <w:t>JR/T 0068—2012</w:t>
            </w:r>
          </w:p>
        </w:tc>
        <w:tc>
          <w:tcPr>
            <w:tcW w:w="713" w:type="pct"/>
            <w:vAlign w:val="center"/>
          </w:tcPr>
          <w:p w14:paraId="1B285804">
            <w:pPr>
              <w:spacing w:after="0" w:line="240" w:lineRule="auto"/>
              <w:jc w:val="left"/>
            </w:pPr>
            <w:r>
              <w:rPr>
                <w:rFonts w:ascii="宋体" w:hAnsi="宋体" w:eastAsia="宋体"/>
                <w:sz w:val="18"/>
              </w:rPr>
              <w:t>《网上银行系统信息安全通用规范》</w:t>
            </w:r>
          </w:p>
        </w:tc>
        <w:tc>
          <w:tcPr>
            <w:tcW w:w="425" w:type="pct"/>
            <w:vAlign w:val="center"/>
          </w:tcPr>
          <w:p w14:paraId="1943CDAB">
            <w:pPr>
              <w:spacing w:after="0" w:line="240" w:lineRule="auto"/>
              <w:jc w:val="center"/>
            </w:pPr>
            <w:r>
              <w:rPr>
                <w:rFonts w:ascii="宋体" w:hAnsi="宋体" w:eastAsia="宋体"/>
                <w:sz w:val="18"/>
              </w:rPr>
              <w:t>是</w:t>
            </w:r>
          </w:p>
        </w:tc>
        <w:tc>
          <w:tcPr>
            <w:tcW w:w="1415" w:type="pct"/>
            <w:vAlign w:val="center"/>
          </w:tcPr>
          <w:p w14:paraId="698AE9AC">
            <w:pPr>
              <w:spacing w:after="0" w:line="240" w:lineRule="auto"/>
            </w:pPr>
          </w:p>
        </w:tc>
        <w:tc>
          <w:tcPr>
            <w:tcW w:w="968" w:type="pct"/>
            <w:vAlign w:val="center"/>
          </w:tcPr>
          <w:p w14:paraId="4136BAC9">
            <w:pPr>
              <w:spacing w:after="0" w:line="240" w:lineRule="auto"/>
              <w:jc w:val="left"/>
            </w:pPr>
          </w:p>
        </w:tc>
      </w:tr>
      <w:tr w14:paraId="7ACB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467A0842">
            <w:pPr>
              <w:spacing w:after="0" w:line="240" w:lineRule="auto"/>
            </w:pPr>
          </w:p>
        </w:tc>
        <w:tc>
          <w:tcPr>
            <w:tcW w:w="665" w:type="pct"/>
            <w:vMerge w:val="continue"/>
            <w:vAlign w:val="center"/>
          </w:tcPr>
          <w:p w14:paraId="78393C37">
            <w:pPr>
              <w:spacing w:after="0" w:line="240" w:lineRule="auto"/>
            </w:pPr>
          </w:p>
        </w:tc>
        <w:tc>
          <w:tcPr>
            <w:tcW w:w="667" w:type="pct"/>
            <w:vAlign w:val="center"/>
          </w:tcPr>
          <w:p w14:paraId="458F2FA1">
            <w:pPr>
              <w:spacing w:after="0" w:line="240" w:lineRule="auto"/>
              <w:jc w:val="left"/>
            </w:pPr>
            <w:r>
              <w:rPr>
                <w:rFonts w:ascii="宋体" w:hAnsi="宋体" w:eastAsia="宋体"/>
                <w:sz w:val="18"/>
              </w:rPr>
              <w:t>JR/T 0071—2012</w:t>
            </w:r>
          </w:p>
        </w:tc>
        <w:tc>
          <w:tcPr>
            <w:tcW w:w="713" w:type="pct"/>
            <w:vAlign w:val="center"/>
          </w:tcPr>
          <w:p w14:paraId="241759B9">
            <w:pPr>
              <w:spacing w:after="0" w:line="240" w:lineRule="auto"/>
              <w:jc w:val="left"/>
            </w:pPr>
            <w:r>
              <w:rPr>
                <w:rFonts w:ascii="宋体" w:hAnsi="宋体" w:eastAsia="宋体"/>
                <w:sz w:val="18"/>
              </w:rPr>
              <w:t>《金融行业信息系统信息安全等级保护实施指引》</w:t>
            </w:r>
          </w:p>
        </w:tc>
        <w:tc>
          <w:tcPr>
            <w:tcW w:w="425" w:type="pct"/>
            <w:vAlign w:val="center"/>
          </w:tcPr>
          <w:p w14:paraId="2F591E01">
            <w:pPr>
              <w:spacing w:after="0" w:line="240" w:lineRule="auto"/>
              <w:jc w:val="center"/>
            </w:pPr>
            <w:r>
              <w:rPr>
                <w:rFonts w:ascii="宋体" w:hAnsi="宋体" w:eastAsia="宋体"/>
                <w:sz w:val="18"/>
              </w:rPr>
              <w:t>是</w:t>
            </w:r>
          </w:p>
        </w:tc>
        <w:tc>
          <w:tcPr>
            <w:tcW w:w="1415" w:type="pct"/>
            <w:vAlign w:val="center"/>
          </w:tcPr>
          <w:p w14:paraId="43C85A81">
            <w:pPr>
              <w:spacing w:after="0" w:line="240" w:lineRule="auto"/>
            </w:pPr>
          </w:p>
        </w:tc>
        <w:tc>
          <w:tcPr>
            <w:tcW w:w="968" w:type="pct"/>
            <w:vAlign w:val="center"/>
          </w:tcPr>
          <w:p w14:paraId="6AD68F50">
            <w:pPr>
              <w:spacing w:after="0" w:line="240" w:lineRule="auto"/>
              <w:jc w:val="left"/>
            </w:pPr>
          </w:p>
        </w:tc>
      </w:tr>
      <w:tr w14:paraId="0C703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restart"/>
            <w:vAlign w:val="center"/>
          </w:tcPr>
          <w:p w14:paraId="6678E780">
            <w:pPr>
              <w:spacing w:after="0" w:line="240" w:lineRule="auto"/>
              <w:jc w:val="center"/>
            </w:pPr>
            <w:r>
              <w:rPr>
                <w:rFonts w:ascii="宋体" w:hAnsi="宋体" w:eastAsia="宋体"/>
                <w:sz w:val="18"/>
              </w:rPr>
              <w:t>3</w:t>
            </w:r>
          </w:p>
          <w:p w14:paraId="4C93A1E3">
            <w:pPr>
              <w:spacing w:after="0" w:line="240" w:lineRule="auto"/>
              <w:jc w:val="center"/>
            </w:pPr>
          </w:p>
          <w:p w14:paraId="12BFC6E0">
            <w:pPr>
              <w:spacing w:after="0" w:line="240" w:lineRule="auto"/>
              <w:jc w:val="center"/>
            </w:pPr>
          </w:p>
          <w:p w14:paraId="4BF75FD0">
            <w:pPr>
              <w:spacing w:after="0" w:line="240" w:lineRule="auto"/>
              <w:jc w:val="center"/>
            </w:pPr>
          </w:p>
        </w:tc>
        <w:tc>
          <w:tcPr>
            <w:tcW w:w="665" w:type="pct"/>
            <w:vMerge w:val="restart"/>
            <w:vAlign w:val="center"/>
          </w:tcPr>
          <w:p w14:paraId="77749E9F">
            <w:pPr>
              <w:spacing w:after="0" w:line="240" w:lineRule="auto"/>
              <w:jc w:val="left"/>
            </w:pPr>
            <w:r>
              <w:rPr>
                <w:rFonts w:ascii="宋体" w:hAnsi="宋体" w:eastAsia="宋体"/>
                <w:sz w:val="18"/>
              </w:rPr>
              <w:t>客户端软件安全</w:t>
            </w:r>
          </w:p>
          <w:p w14:paraId="749C6355">
            <w:pPr>
              <w:spacing w:after="0" w:line="240" w:lineRule="auto"/>
              <w:jc w:val="left"/>
            </w:pPr>
          </w:p>
          <w:p w14:paraId="4E8AB93D">
            <w:pPr>
              <w:spacing w:after="0" w:line="240" w:lineRule="auto"/>
              <w:jc w:val="left"/>
            </w:pPr>
          </w:p>
          <w:p w14:paraId="7ABA0B23">
            <w:pPr>
              <w:spacing w:after="0" w:line="240" w:lineRule="auto"/>
              <w:jc w:val="left"/>
            </w:pPr>
          </w:p>
        </w:tc>
        <w:tc>
          <w:tcPr>
            <w:tcW w:w="667" w:type="pct"/>
            <w:vAlign w:val="center"/>
          </w:tcPr>
          <w:p w14:paraId="7E715C13">
            <w:pPr>
              <w:spacing w:after="0" w:line="240" w:lineRule="auto"/>
              <w:jc w:val="left"/>
            </w:pPr>
            <w:r>
              <w:rPr>
                <w:rFonts w:ascii="宋体" w:hAnsi="宋体" w:eastAsia="宋体"/>
                <w:sz w:val="18"/>
              </w:rPr>
              <w:t>Q_320724GNNSH 004-2024</w:t>
            </w:r>
          </w:p>
        </w:tc>
        <w:tc>
          <w:tcPr>
            <w:tcW w:w="713" w:type="pct"/>
            <w:vAlign w:val="center"/>
          </w:tcPr>
          <w:p w14:paraId="4B88B261">
            <w:pPr>
              <w:spacing w:after="0" w:line="240" w:lineRule="auto"/>
              <w:jc w:val="left"/>
            </w:pPr>
            <w:r>
              <w:rPr>
                <w:rFonts w:ascii="宋体" w:hAnsi="宋体" w:eastAsia="宋体"/>
                <w:sz w:val="18"/>
              </w:rPr>
              <w:t>江苏灌南农村商业银行客户端安全管理规范</w:t>
            </w:r>
          </w:p>
        </w:tc>
        <w:tc>
          <w:tcPr>
            <w:tcW w:w="425" w:type="pct"/>
            <w:vAlign w:val="center"/>
          </w:tcPr>
          <w:p w14:paraId="780F275E">
            <w:pPr>
              <w:spacing w:after="0" w:line="240" w:lineRule="auto"/>
              <w:jc w:val="center"/>
            </w:pPr>
            <w:r>
              <w:rPr>
                <w:rFonts w:ascii="宋体" w:hAnsi="宋体" w:eastAsia="宋体"/>
                <w:sz w:val="18"/>
              </w:rPr>
              <w:t>是</w:t>
            </w:r>
          </w:p>
        </w:tc>
        <w:tc>
          <w:tcPr>
            <w:tcW w:w="1415" w:type="pct"/>
            <w:vAlign w:val="center"/>
          </w:tcPr>
          <w:p w14:paraId="7B5A8D73">
            <w:pPr>
              <w:spacing w:after="0" w:line="240" w:lineRule="auto"/>
              <w:jc w:val="left"/>
            </w:pPr>
            <w:r>
              <w:rPr>
                <w:rFonts w:ascii="宋体" w:hAnsi="宋体" w:eastAsia="宋体"/>
                <w:sz w:val="18"/>
              </w:rPr>
              <w:t>https://www.qybz.org.cn/user/detail/ac520515d051cf20582e10f2c5db7fedc280a1d7c51165cd59611df9817ce2bb1667e8270e92630f8ddeed1ee4fdb693</w:t>
            </w:r>
          </w:p>
        </w:tc>
        <w:tc>
          <w:tcPr>
            <w:tcW w:w="968" w:type="pct"/>
            <w:vAlign w:val="center"/>
          </w:tcPr>
          <w:p w14:paraId="4B079BD4">
            <w:pPr>
              <w:spacing w:after="0" w:line="240" w:lineRule="auto"/>
              <w:jc w:val="left"/>
            </w:pPr>
            <w:r>
              <w:rPr>
                <w:rFonts w:hint="eastAsia"/>
                <w:sz w:val="18"/>
                <w:szCs w:val="20"/>
              </w:rPr>
              <w:t>兼容 Android、iOS、HarmonyOS 等主流操作系统，支持安卓、苹果、鸿蒙等全平台发布运行；兼容移动、电信、联通等运营商，在 3G、4G、5G、WiFi 等网络环境下均能正常使用；能够合理分配内存、有效控制 CPU 占用率，保障千万级用户规模下系统运行流畅稳定；各操作系统安装包大小控制在 300M 以下，满足各类终端快速下载安装需求。</w:t>
            </w:r>
          </w:p>
        </w:tc>
      </w:tr>
      <w:tr w14:paraId="1B09D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3C9DEB0A">
            <w:pPr>
              <w:spacing w:after="0" w:line="240" w:lineRule="auto"/>
            </w:pPr>
          </w:p>
        </w:tc>
        <w:tc>
          <w:tcPr>
            <w:tcW w:w="665" w:type="pct"/>
            <w:vMerge w:val="continue"/>
            <w:vAlign w:val="center"/>
          </w:tcPr>
          <w:p w14:paraId="292D4222">
            <w:pPr>
              <w:spacing w:after="0" w:line="240" w:lineRule="auto"/>
            </w:pPr>
          </w:p>
        </w:tc>
        <w:tc>
          <w:tcPr>
            <w:tcW w:w="667" w:type="pct"/>
            <w:vAlign w:val="center"/>
          </w:tcPr>
          <w:p w14:paraId="022F6FD6">
            <w:pPr>
              <w:spacing w:after="0" w:line="240" w:lineRule="auto"/>
              <w:jc w:val="left"/>
            </w:pPr>
            <w:r>
              <w:rPr>
                <w:rFonts w:ascii="宋体" w:hAnsi="宋体" w:eastAsia="宋体"/>
                <w:sz w:val="18"/>
              </w:rPr>
              <w:t>GB/T 35273-2017</w:t>
            </w:r>
          </w:p>
        </w:tc>
        <w:tc>
          <w:tcPr>
            <w:tcW w:w="713" w:type="pct"/>
            <w:vAlign w:val="center"/>
          </w:tcPr>
          <w:p w14:paraId="2490BED7">
            <w:pPr>
              <w:spacing w:after="0" w:line="240" w:lineRule="auto"/>
              <w:jc w:val="left"/>
            </w:pPr>
            <w:r>
              <w:rPr>
                <w:rFonts w:ascii="宋体" w:hAnsi="宋体" w:eastAsia="宋体"/>
                <w:sz w:val="18"/>
              </w:rPr>
              <w:t>信息安全技术个人信息安全规范</w:t>
            </w:r>
          </w:p>
        </w:tc>
        <w:tc>
          <w:tcPr>
            <w:tcW w:w="425" w:type="pct"/>
            <w:vAlign w:val="center"/>
          </w:tcPr>
          <w:p w14:paraId="25F51CD9">
            <w:pPr>
              <w:spacing w:after="0" w:line="240" w:lineRule="auto"/>
              <w:jc w:val="center"/>
            </w:pPr>
            <w:r>
              <w:rPr>
                <w:rFonts w:ascii="宋体" w:hAnsi="宋体" w:eastAsia="宋体"/>
                <w:sz w:val="18"/>
              </w:rPr>
              <w:t>是</w:t>
            </w:r>
          </w:p>
        </w:tc>
        <w:tc>
          <w:tcPr>
            <w:tcW w:w="1415" w:type="pct"/>
            <w:vAlign w:val="center"/>
          </w:tcPr>
          <w:p w14:paraId="56A6F57D">
            <w:pPr>
              <w:spacing w:after="0" w:line="240" w:lineRule="auto"/>
            </w:pPr>
          </w:p>
        </w:tc>
        <w:tc>
          <w:tcPr>
            <w:tcW w:w="968" w:type="pct"/>
            <w:vAlign w:val="center"/>
          </w:tcPr>
          <w:p w14:paraId="005C4D4E">
            <w:pPr>
              <w:spacing w:after="0" w:line="240" w:lineRule="auto"/>
              <w:jc w:val="left"/>
            </w:pPr>
          </w:p>
        </w:tc>
      </w:tr>
      <w:tr w14:paraId="09B9E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1DDF01CB">
            <w:pPr>
              <w:spacing w:after="0" w:line="240" w:lineRule="auto"/>
            </w:pPr>
          </w:p>
        </w:tc>
        <w:tc>
          <w:tcPr>
            <w:tcW w:w="665" w:type="pct"/>
            <w:vMerge w:val="continue"/>
            <w:vAlign w:val="center"/>
          </w:tcPr>
          <w:p w14:paraId="1553DEDC">
            <w:pPr>
              <w:spacing w:after="0" w:line="240" w:lineRule="auto"/>
            </w:pPr>
          </w:p>
        </w:tc>
        <w:tc>
          <w:tcPr>
            <w:tcW w:w="667" w:type="pct"/>
            <w:vAlign w:val="center"/>
          </w:tcPr>
          <w:p w14:paraId="588B0292">
            <w:pPr>
              <w:spacing w:after="0" w:line="240" w:lineRule="auto"/>
              <w:jc w:val="left"/>
            </w:pPr>
            <w:r>
              <w:rPr>
                <w:rFonts w:ascii="宋体" w:hAnsi="宋体" w:eastAsia="宋体"/>
                <w:sz w:val="18"/>
              </w:rPr>
              <w:t>JR/T 0071-2012</w:t>
            </w:r>
          </w:p>
        </w:tc>
        <w:tc>
          <w:tcPr>
            <w:tcW w:w="713" w:type="pct"/>
            <w:vAlign w:val="center"/>
          </w:tcPr>
          <w:p w14:paraId="0BA0CEF5">
            <w:pPr>
              <w:spacing w:after="0" w:line="240" w:lineRule="auto"/>
              <w:jc w:val="left"/>
            </w:pPr>
            <w:r>
              <w:rPr>
                <w:rFonts w:ascii="宋体" w:hAnsi="宋体" w:eastAsia="宋体"/>
                <w:sz w:val="18"/>
              </w:rPr>
              <w:t>金融行业信息系统信息安全等级保护实施指引</w:t>
            </w:r>
          </w:p>
        </w:tc>
        <w:tc>
          <w:tcPr>
            <w:tcW w:w="425" w:type="pct"/>
            <w:vAlign w:val="center"/>
          </w:tcPr>
          <w:p w14:paraId="11FEBA8E">
            <w:pPr>
              <w:spacing w:after="0" w:line="240" w:lineRule="auto"/>
              <w:jc w:val="center"/>
            </w:pPr>
            <w:r>
              <w:rPr>
                <w:rFonts w:ascii="宋体" w:hAnsi="宋体" w:eastAsia="宋体"/>
                <w:sz w:val="18"/>
              </w:rPr>
              <w:t>是</w:t>
            </w:r>
          </w:p>
        </w:tc>
        <w:tc>
          <w:tcPr>
            <w:tcW w:w="1415" w:type="pct"/>
            <w:vAlign w:val="center"/>
          </w:tcPr>
          <w:p w14:paraId="514468D8">
            <w:pPr>
              <w:spacing w:after="0" w:line="240" w:lineRule="auto"/>
            </w:pPr>
          </w:p>
        </w:tc>
        <w:tc>
          <w:tcPr>
            <w:tcW w:w="968" w:type="pct"/>
            <w:vAlign w:val="center"/>
          </w:tcPr>
          <w:p w14:paraId="4188D6E0">
            <w:pPr>
              <w:spacing w:after="0" w:line="240" w:lineRule="auto"/>
              <w:jc w:val="left"/>
            </w:pPr>
          </w:p>
        </w:tc>
      </w:tr>
      <w:tr w14:paraId="48273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00778A35">
            <w:pPr>
              <w:spacing w:after="0" w:line="240" w:lineRule="auto"/>
            </w:pPr>
          </w:p>
        </w:tc>
        <w:tc>
          <w:tcPr>
            <w:tcW w:w="665" w:type="pct"/>
            <w:vMerge w:val="continue"/>
            <w:vAlign w:val="center"/>
          </w:tcPr>
          <w:p w14:paraId="63CBBBE2">
            <w:pPr>
              <w:spacing w:after="0" w:line="240" w:lineRule="auto"/>
            </w:pPr>
          </w:p>
        </w:tc>
        <w:tc>
          <w:tcPr>
            <w:tcW w:w="667" w:type="pct"/>
            <w:vAlign w:val="center"/>
          </w:tcPr>
          <w:p w14:paraId="7EF76AEA">
            <w:pPr>
              <w:spacing w:after="0" w:line="240" w:lineRule="auto"/>
              <w:jc w:val="left"/>
            </w:pPr>
            <w:r>
              <w:rPr>
                <w:rFonts w:ascii="宋体" w:hAnsi="宋体" w:eastAsia="宋体"/>
                <w:sz w:val="18"/>
              </w:rPr>
              <w:t>JR/T 0092—2019</w:t>
            </w:r>
          </w:p>
        </w:tc>
        <w:tc>
          <w:tcPr>
            <w:tcW w:w="713" w:type="pct"/>
            <w:vAlign w:val="center"/>
          </w:tcPr>
          <w:p w14:paraId="2D0AB23D">
            <w:pPr>
              <w:spacing w:after="0" w:line="240" w:lineRule="auto"/>
              <w:jc w:val="left"/>
            </w:pPr>
            <w:r>
              <w:rPr>
                <w:rFonts w:ascii="宋体" w:hAnsi="宋体" w:eastAsia="宋体"/>
                <w:sz w:val="18"/>
              </w:rPr>
              <w:t>移动金融客户端应用软件安全管理规范</w:t>
            </w:r>
          </w:p>
        </w:tc>
        <w:tc>
          <w:tcPr>
            <w:tcW w:w="425" w:type="pct"/>
            <w:vAlign w:val="center"/>
          </w:tcPr>
          <w:p w14:paraId="6EE71770">
            <w:pPr>
              <w:spacing w:after="0" w:line="240" w:lineRule="auto"/>
              <w:jc w:val="center"/>
            </w:pPr>
            <w:r>
              <w:rPr>
                <w:rFonts w:ascii="宋体" w:hAnsi="宋体" w:eastAsia="宋体"/>
                <w:sz w:val="18"/>
              </w:rPr>
              <w:t>是</w:t>
            </w:r>
          </w:p>
        </w:tc>
        <w:tc>
          <w:tcPr>
            <w:tcW w:w="1415" w:type="pct"/>
            <w:vAlign w:val="center"/>
          </w:tcPr>
          <w:p w14:paraId="17086C9E">
            <w:pPr>
              <w:spacing w:after="0" w:line="240" w:lineRule="auto"/>
            </w:pPr>
          </w:p>
        </w:tc>
        <w:tc>
          <w:tcPr>
            <w:tcW w:w="968" w:type="pct"/>
            <w:vAlign w:val="center"/>
          </w:tcPr>
          <w:p w14:paraId="05E2D20B">
            <w:pPr>
              <w:spacing w:after="0" w:line="240" w:lineRule="auto"/>
              <w:jc w:val="left"/>
            </w:pPr>
          </w:p>
        </w:tc>
      </w:tr>
      <w:tr w14:paraId="6BD1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restart"/>
            <w:vAlign w:val="center"/>
          </w:tcPr>
          <w:p w14:paraId="17C7F5A8">
            <w:pPr>
              <w:spacing w:after="0" w:line="240" w:lineRule="auto"/>
              <w:jc w:val="center"/>
            </w:pPr>
            <w:r>
              <w:rPr>
                <w:rFonts w:ascii="宋体" w:hAnsi="宋体" w:eastAsia="宋体"/>
                <w:sz w:val="18"/>
              </w:rPr>
              <w:t>4</w:t>
            </w:r>
          </w:p>
          <w:p w14:paraId="0E8FF112">
            <w:pPr>
              <w:spacing w:after="0" w:line="240" w:lineRule="auto"/>
              <w:jc w:val="center"/>
            </w:pPr>
          </w:p>
          <w:p w14:paraId="719D0A05">
            <w:pPr>
              <w:spacing w:after="0" w:line="240" w:lineRule="auto"/>
              <w:jc w:val="center"/>
            </w:pPr>
          </w:p>
          <w:p w14:paraId="1E958BB9">
            <w:pPr>
              <w:spacing w:after="0" w:line="240" w:lineRule="auto"/>
              <w:jc w:val="center"/>
            </w:pPr>
          </w:p>
          <w:p w14:paraId="57DEEBFC">
            <w:pPr>
              <w:spacing w:after="0" w:line="240" w:lineRule="auto"/>
              <w:jc w:val="center"/>
            </w:pPr>
          </w:p>
          <w:p w14:paraId="7519694E">
            <w:pPr>
              <w:spacing w:after="0" w:line="240" w:lineRule="auto"/>
              <w:jc w:val="center"/>
            </w:pPr>
          </w:p>
        </w:tc>
        <w:tc>
          <w:tcPr>
            <w:tcW w:w="665" w:type="pct"/>
            <w:vMerge w:val="restart"/>
            <w:vAlign w:val="center"/>
          </w:tcPr>
          <w:p w14:paraId="092D1674">
            <w:pPr>
              <w:spacing w:after="0" w:line="240" w:lineRule="auto"/>
              <w:jc w:val="left"/>
            </w:pPr>
            <w:r>
              <w:rPr>
                <w:rFonts w:ascii="宋体" w:hAnsi="宋体" w:eastAsia="宋体"/>
                <w:sz w:val="18"/>
              </w:rPr>
              <w:t>接口平台</w:t>
            </w:r>
          </w:p>
          <w:p w14:paraId="68561BE3">
            <w:pPr>
              <w:spacing w:after="0" w:line="240" w:lineRule="auto"/>
              <w:jc w:val="left"/>
            </w:pPr>
          </w:p>
          <w:p w14:paraId="48C5731F">
            <w:pPr>
              <w:spacing w:after="0" w:line="240" w:lineRule="auto"/>
              <w:jc w:val="left"/>
            </w:pPr>
          </w:p>
          <w:p w14:paraId="180D92AF">
            <w:pPr>
              <w:spacing w:after="0" w:line="240" w:lineRule="auto"/>
              <w:jc w:val="left"/>
            </w:pPr>
          </w:p>
          <w:p w14:paraId="0842431D">
            <w:pPr>
              <w:spacing w:after="0" w:line="240" w:lineRule="auto"/>
              <w:jc w:val="left"/>
            </w:pPr>
          </w:p>
          <w:p w14:paraId="57AC4855">
            <w:pPr>
              <w:spacing w:after="0" w:line="240" w:lineRule="auto"/>
              <w:jc w:val="left"/>
            </w:pPr>
          </w:p>
        </w:tc>
        <w:tc>
          <w:tcPr>
            <w:tcW w:w="667" w:type="pct"/>
            <w:vAlign w:val="center"/>
          </w:tcPr>
          <w:p w14:paraId="199D4F94">
            <w:pPr>
              <w:spacing w:after="0" w:line="240" w:lineRule="auto"/>
              <w:jc w:val="left"/>
            </w:pPr>
            <w:r>
              <w:rPr>
                <w:rFonts w:ascii="宋体" w:hAnsi="宋体" w:eastAsia="宋体"/>
                <w:sz w:val="18"/>
              </w:rPr>
              <w:t>Q_320724GNNSH 002-2024</w:t>
            </w:r>
          </w:p>
        </w:tc>
        <w:tc>
          <w:tcPr>
            <w:tcW w:w="713" w:type="pct"/>
            <w:vAlign w:val="center"/>
          </w:tcPr>
          <w:p w14:paraId="4BDF5779">
            <w:pPr>
              <w:spacing w:after="0" w:line="240" w:lineRule="auto"/>
              <w:jc w:val="left"/>
            </w:pPr>
            <w:r>
              <w:rPr>
                <w:rFonts w:ascii="宋体" w:hAnsi="宋体" w:eastAsia="宋体"/>
                <w:sz w:val="18"/>
              </w:rPr>
              <w:t>江苏灌南农村商业银行接口开放平台安全管理规范</w:t>
            </w:r>
          </w:p>
        </w:tc>
        <w:tc>
          <w:tcPr>
            <w:tcW w:w="425" w:type="pct"/>
            <w:vAlign w:val="center"/>
          </w:tcPr>
          <w:p w14:paraId="4249880B">
            <w:pPr>
              <w:spacing w:after="0" w:line="240" w:lineRule="auto"/>
              <w:jc w:val="center"/>
            </w:pPr>
            <w:r>
              <w:rPr>
                <w:rFonts w:ascii="宋体" w:hAnsi="宋体" w:eastAsia="宋体"/>
                <w:sz w:val="18"/>
              </w:rPr>
              <w:t>是</w:t>
            </w:r>
          </w:p>
        </w:tc>
        <w:tc>
          <w:tcPr>
            <w:tcW w:w="1415" w:type="pct"/>
            <w:vAlign w:val="center"/>
          </w:tcPr>
          <w:p w14:paraId="2533B06A">
            <w:pPr>
              <w:spacing w:after="0" w:line="240" w:lineRule="auto"/>
              <w:jc w:val="left"/>
            </w:pPr>
            <w:r>
              <w:rPr>
                <w:rFonts w:ascii="宋体" w:hAnsi="宋体" w:eastAsia="宋体"/>
                <w:sz w:val="18"/>
              </w:rPr>
              <w:t>https://www.qybz.org.cn/user/detail/c52801e1037058aa32d6a2e40de4402b6bd53430292e631481be9ab51d5f109f1667e8270e92630f8ddeed1ee4fdb693</w:t>
            </w:r>
          </w:p>
        </w:tc>
        <w:tc>
          <w:tcPr>
            <w:tcW w:w="968" w:type="pct"/>
            <w:vAlign w:val="center"/>
          </w:tcPr>
          <w:p w14:paraId="3AF436F0">
            <w:pPr>
              <w:spacing w:after="0" w:line="240" w:lineRule="auto"/>
              <w:jc w:val="left"/>
            </w:pPr>
            <w:r>
              <w:rPr>
                <w:rFonts w:hint="eastAsia"/>
                <w:sz w:val="18"/>
                <w:szCs w:val="20"/>
              </w:rPr>
              <w:t>兼容主流操作系统及国产化运行环境，适配 Linux、麒麟、统信等操作系统部署运行；支持 7*24 小时不间断运行，保障接口服务稳定可靠，系统可用率大于 99.99%；合理分配内存、有效控制 CPU 占用率，保障高并发调用场景下接口响应流畅稳定；接口平均响应时间≤2 秒，交易成功率≥99.9%，满足各系统对接调用需求。</w:t>
            </w:r>
          </w:p>
        </w:tc>
      </w:tr>
      <w:tr w14:paraId="43EE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1BDEC4FC">
            <w:pPr>
              <w:spacing w:after="0" w:line="240" w:lineRule="auto"/>
            </w:pPr>
          </w:p>
        </w:tc>
        <w:tc>
          <w:tcPr>
            <w:tcW w:w="665" w:type="pct"/>
            <w:vMerge w:val="continue"/>
            <w:vAlign w:val="center"/>
          </w:tcPr>
          <w:p w14:paraId="4362ED44">
            <w:pPr>
              <w:spacing w:after="0" w:line="240" w:lineRule="auto"/>
            </w:pPr>
          </w:p>
        </w:tc>
        <w:tc>
          <w:tcPr>
            <w:tcW w:w="667" w:type="pct"/>
            <w:vAlign w:val="center"/>
          </w:tcPr>
          <w:p w14:paraId="5896ECC9">
            <w:pPr>
              <w:spacing w:after="0" w:line="240" w:lineRule="auto"/>
              <w:jc w:val="left"/>
            </w:pPr>
            <w:r>
              <w:rPr>
                <w:rFonts w:ascii="宋体" w:hAnsi="宋体" w:eastAsia="宋体"/>
                <w:sz w:val="18"/>
              </w:rPr>
              <w:t>JR/T 0124—2014</w:t>
            </w:r>
          </w:p>
        </w:tc>
        <w:tc>
          <w:tcPr>
            <w:tcW w:w="713" w:type="pct"/>
            <w:vAlign w:val="center"/>
          </w:tcPr>
          <w:p w14:paraId="15473C8F">
            <w:pPr>
              <w:spacing w:after="0" w:line="240" w:lineRule="auto"/>
              <w:jc w:val="left"/>
            </w:pPr>
            <w:r>
              <w:rPr>
                <w:rFonts w:ascii="宋体" w:hAnsi="宋体" w:eastAsia="宋体"/>
                <w:sz w:val="18"/>
              </w:rPr>
              <w:t>金融机构编码规范</w:t>
            </w:r>
          </w:p>
        </w:tc>
        <w:tc>
          <w:tcPr>
            <w:tcW w:w="425" w:type="pct"/>
            <w:vAlign w:val="center"/>
          </w:tcPr>
          <w:p w14:paraId="32354133">
            <w:pPr>
              <w:spacing w:after="0" w:line="240" w:lineRule="auto"/>
              <w:jc w:val="center"/>
            </w:pPr>
            <w:r>
              <w:rPr>
                <w:rFonts w:ascii="宋体" w:hAnsi="宋体" w:eastAsia="宋体"/>
                <w:sz w:val="18"/>
              </w:rPr>
              <w:t>是</w:t>
            </w:r>
          </w:p>
        </w:tc>
        <w:tc>
          <w:tcPr>
            <w:tcW w:w="1415" w:type="pct"/>
            <w:vAlign w:val="center"/>
          </w:tcPr>
          <w:p w14:paraId="261998FB">
            <w:pPr>
              <w:spacing w:after="0" w:line="240" w:lineRule="auto"/>
            </w:pPr>
          </w:p>
        </w:tc>
        <w:tc>
          <w:tcPr>
            <w:tcW w:w="968" w:type="pct"/>
            <w:vAlign w:val="center"/>
          </w:tcPr>
          <w:p w14:paraId="789ED305">
            <w:pPr>
              <w:spacing w:after="0" w:line="240" w:lineRule="auto"/>
              <w:jc w:val="left"/>
            </w:pPr>
          </w:p>
        </w:tc>
      </w:tr>
      <w:tr w14:paraId="7593C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3FBF8714">
            <w:pPr>
              <w:spacing w:after="0" w:line="240" w:lineRule="auto"/>
            </w:pPr>
          </w:p>
        </w:tc>
        <w:tc>
          <w:tcPr>
            <w:tcW w:w="665" w:type="pct"/>
            <w:vMerge w:val="continue"/>
            <w:vAlign w:val="center"/>
          </w:tcPr>
          <w:p w14:paraId="09201EC4">
            <w:pPr>
              <w:spacing w:after="0" w:line="240" w:lineRule="auto"/>
            </w:pPr>
          </w:p>
        </w:tc>
        <w:tc>
          <w:tcPr>
            <w:tcW w:w="667" w:type="pct"/>
            <w:vAlign w:val="center"/>
          </w:tcPr>
          <w:p w14:paraId="673054B8">
            <w:pPr>
              <w:spacing w:after="0" w:line="240" w:lineRule="auto"/>
              <w:jc w:val="left"/>
            </w:pPr>
            <w:r>
              <w:rPr>
                <w:rFonts w:ascii="宋体" w:hAnsi="宋体" w:eastAsia="宋体"/>
                <w:sz w:val="18"/>
              </w:rPr>
              <w:t xml:space="preserve">GB/T 35273-2017 </w:t>
            </w:r>
          </w:p>
        </w:tc>
        <w:tc>
          <w:tcPr>
            <w:tcW w:w="713" w:type="pct"/>
            <w:vAlign w:val="center"/>
          </w:tcPr>
          <w:p w14:paraId="34EDF680">
            <w:pPr>
              <w:spacing w:after="0" w:line="240" w:lineRule="auto"/>
              <w:jc w:val="left"/>
            </w:pPr>
            <w:r>
              <w:rPr>
                <w:rFonts w:ascii="宋体" w:hAnsi="宋体" w:eastAsia="宋体"/>
                <w:sz w:val="18"/>
              </w:rPr>
              <w:t>信息安全技术 个人信息安全规范</w:t>
            </w:r>
          </w:p>
        </w:tc>
        <w:tc>
          <w:tcPr>
            <w:tcW w:w="425" w:type="pct"/>
            <w:vAlign w:val="center"/>
          </w:tcPr>
          <w:p w14:paraId="4E8CD20B">
            <w:pPr>
              <w:spacing w:after="0" w:line="240" w:lineRule="auto"/>
              <w:jc w:val="center"/>
            </w:pPr>
            <w:r>
              <w:rPr>
                <w:rFonts w:ascii="宋体" w:hAnsi="宋体" w:eastAsia="宋体"/>
                <w:sz w:val="18"/>
              </w:rPr>
              <w:t>是</w:t>
            </w:r>
          </w:p>
        </w:tc>
        <w:tc>
          <w:tcPr>
            <w:tcW w:w="1415" w:type="pct"/>
            <w:vAlign w:val="center"/>
          </w:tcPr>
          <w:p w14:paraId="3BB6A4C3">
            <w:pPr>
              <w:spacing w:after="0" w:line="240" w:lineRule="auto"/>
            </w:pPr>
          </w:p>
        </w:tc>
        <w:tc>
          <w:tcPr>
            <w:tcW w:w="968" w:type="pct"/>
            <w:vAlign w:val="center"/>
          </w:tcPr>
          <w:p w14:paraId="56CFDF91">
            <w:pPr>
              <w:spacing w:after="0" w:line="240" w:lineRule="auto"/>
              <w:jc w:val="left"/>
            </w:pPr>
          </w:p>
        </w:tc>
      </w:tr>
      <w:tr w14:paraId="6F43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70E18A1A">
            <w:pPr>
              <w:spacing w:after="0" w:line="240" w:lineRule="auto"/>
            </w:pPr>
          </w:p>
        </w:tc>
        <w:tc>
          <w:tcPr>
            <w:tcW w:w="665" w:type="pct"/>
            <w:vMerge w:val="continue"/>
            <w:vAlign w:val="center"/>
          </w:tcPr>
          <w:p w14:paraId="02B90782">
            <w:pPr>
              <w:spacing w:after="0" w:line="240" w:lineRule="auto"/>
            </w:pPr>
          </w:p>
        </w:tc>
        <w:tc>
          <w:tcPr>
            <w:tcW w:w="667" w:type="pct"/>
            <w:vAlign w:val="center"/>
          </w:tcPr>
          <w:p w14:paraId="5A9762FE">
            <w:pPr>
              <w:spacing w:after="0" w:line="240" w:lineRule="auto"/>
              <w:jc w:val="left"/>
            </w:pPr>
            <w:r>
              <w:rPr>
                <w:rFonts w:ascii="宋体" w:hAnsi="宋体" w:eastAsia="宋体"/>
                <w:sz w:val="18"/>
              </w:rPr>
              <w:t>JR/T 0071-2012</w:t>
            </w:r>
          </w:p>
        </w:tc>
        <w:tc>
          <w:tcPr>
            <w:tcW w:w="713" w:type="pct"/>
            <w:vAlign w:val="center"/>
          </w:tcPr>
          <w:p w14:paraId="4392ED79">
            <w:pPr>
              <w:spacing w:after="0" w:line="240" w:lineRule="auto"/>
              <w:jc w:val="left"/>
            </w:pPr>
            <w:r>
              <w:rPr>
                <w:rFonts w:ascii="宋体" w:hAnsi="宋体" w:eastAsia="宋体"/>
                <w:sz w:val="18"/>
              </w:rPr>
              <w:t>金融行业信息系统信息安全等级保护实施指引</w:t>
            </w:r>
          </w:p>
        </w:tc>
        <w:tc>
          <w:tcPr>
            <w:tcW w:w="425" w:type="pct"/>
            <w:vAlign w:val="center"/>
          </w:tcPr>
          <w:p w14:paraId="234BD285">
            <w:pPr>
              <w:spacing w:after="0" w:line="240" w:lineRule="auto"/>
              <w:jc w:val="center"/>
            </w:pPr>
            <w:r>
              <w:rPr>
                <w:rFonts w:ascii="宋体" w:hAnsi="宋体" w:eastAsia="宋体"/>
                <w:sz w:val="18"/>
              </w:rPr>
              <w:t>是</w:t>
            </w:r>
          </w:p>
        </w:tc>
        <w:tc>
          <w:tcPr>
            <w:tcW w:w="1415" w:type="pct"/>
            <w:vAlign w:val="center"/>
          </w:tcPr>
          <w:p w14:paraId="51FA3582">
            <w:pPr>
              <w:spacing w:after="0" w:line="240" w:lineRule="auto"/>
            </w:pPr>
          </w:p>
        </w:tc>
        <w:tc>
          <w:tcPr>
            <w:tcW w:w="968" w:type="pct"/>
            <w:vAlign w:val="center"/>
          </w:tcPr>
          <w:p w14:paraId="220350B9">
            <w:pPr>
              <w:spacing w:after="0" w:line="240" w:lineRule="auto"/>
              <w:jc w:val="left"/>
            </w:pPr>
          </w:p>
        </w:tc>
      </w:tr>
      <w:tr w14:paraId="5D4E2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0C397AA8">
            <w:pPr>
              <w:spacing w:after="0" w:line="240" w:lineRule="auto"/>
            </w:pPr>
          </w:p>
        </w:tc>
        <w:tc>
          <w:tcPr>
            <w:tcW w:w="665" w:type="pct"/>
            <w:vMerge w:val="continue"/>
            <w:vAlign w:val="center"/>
          </w:tcPr>
          <w:p w14:paraId="712671AF">
            <w:pPr>
              <w:spacing w:after="0" w:line="240" w:lineRule="auto"/>
            </w:pPr>
          </w:p>
        </w:tc>
        <w:tc>
          <w:tcPr>
            <w:tcW w:w="667" w:type="pct"/>
            <w:vAlign w:val="center"/>
          </w:tcPr>
          <w:p w14:paraId="2CD23CBA">
            <w:pPr>
              <w:spacing w:after="0" w:line="240" w:lineRule="auto"/>
              <w:jc w:val="left"/>
            </w:pPr>
            <w:r>
              <w:rPr>
                <w:rFonts w:ascii="宋体" w:hAnsi="宋体" w:eastAsia="宋体"/>
                <w:sz w:val="18"/>
              </w:rPr>
              <w:t>GM/T 0002-2012</w:t>
            </w:r>
          </w:p>
        </w:tc>
        <w:tc>
          <w:tcPr>
            <w:tcW w:w="713" w:type="pct"/>
            <w:vAlign w:val="center"/>
          </w:tcPr>
          <w:p w14:paraId="5191777E">
            <w:pPr>
              <w:spacing w:after="0" w:line="240" w:lineRule="auto"/>
              <w:jc w:val="left"/>
            </w:pPr>
            <w:r>
              <w:rPr>
                <w:rFonts w:ascii="宋体" w:hAnsi="宋体" w:eastAsia="宋体"/>
                <w:sz w:val="18"/>
              </w:rPr>
              <w:t>SM4 分组密码算法</w:t>
            </w:r>
          </w:p>
        </w:tc>
        <w:tc>
          <w:tcPr>
            <w:tcW w:w="425" w:type="pct"/>
            <w:vAlign w:val="center"/>
          </w:tcPr>
          <w:p w14:paraId="094073D5">
            <w:pPr>
              <w:spacing w:after="0" w:line="240" w:lineRule="auto"/>
              <w:jc w:val="center"/>
            </w:pPr>
            <w:r>
              <w:rPr>
                <w:rFonts w:ascii="宋体" w:hAnsi="宋体" w:eastAsia="宋体"/>
                <w:sz w:val="18"/>
              </w:rPr>
              <w:t>是</w:t>
            </w:r>
          </w:p>
        </w:tc>
        <w:tc>
          <w:tcPr>
            <w:tcW w:w="1415" w:type="pct"/>
            <w:vAlign w:val="center"/>
          </w:tcPr>
          <w:p w14:paraId="1A41AEAD">
            <w:pPr>
              <w:spacing w:after="0" w:line="240" w:lineRule="auto"/>
            </w:pPr>
          </w:p>
        </w:tc>
        <w:tc>
          <w:tcPr>
            <w:tcW w:w="968" w:type="pct"/>
            <w:vAlign w:val="center"/>
          </w:tcPr>
          <w:p w14:paraId="3E96A3EC">
            <w:pPr>
              <w:spacing w:after="0" w:line="240" w:lineRule="auto"/>
              <w:jc w:val="left"/>
            </w:pPr>
          </w:p>
        </w:tc>
      </w:tr>
      <w:tr w14:paraId="3AC2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 w:type="pct"/>
            <w:vMerge w:val="continue"/>
            <w:vAlign w:val="center"/>
          </w:tcPr>
          <w:p w14:paraId="3216E473">
            <w:pPr>
              <w:spacing w:after="0" w:line="240" w:lineRule="auto"/>
            </w:pPr>
          </w:p>
        </w:tc>
        <w:tc>
          <w:tcPr>
            <w:tcW w:w="665" w:type="pct"/>
            <w:vMerge w:val="continue"/>
            <w:vAlign w:val="center"/>
          </w:tcPr>
          <w:p w14:paraId="19235128">
            <w:pPr>
              <w:spacing w:after="0" w:line="240" w:lineRule="auto"/>
            </w:pPr>
          </w:p>
        </w:tc>
        <w:tc>
          <w:tcPr>
            <w:tcW w:w="667" w:type="pct"/>
            <w:vAlign w:val="center"/>
          </w:tcPr>
          <w:p w14:paraId="64888FDB">
            <w:pPr>
              <w:spacing w:after="0" w:line="240" w:lineRule="auto"/>
              <w:jc w:val="left"/>
            </w:pPr>
            <w:r>
              <w:rPr>
                <w:rFonts w:ascii="宋体" w:hAnsi="宋体" w:eastAsia="宋体"/>
                <w:sz w:val="18"/>
              </w:rPr>
              <w:t>JR/T 0171—2019</w:t>
            </w:r>
          </w:p>
        </w:tc>
        <w:tc>
          <w:tcPr>
            <w:tcW w:w="713" w:type="pct"/>
            <w:vAlign w:val="center"/>
          </w:tcPr>
          <w:p w14:paraId="2E256274">
            <w:pPr>
              <w:spacing w:after="0" w:line="240" w:lineRule="auto"/>
              <w:jc w:val="left"/>
            </w:pPr>
            <w:r>
              <w:rPr>
                <w:rFonts w:ascii="宋体" w:hAnsi="宋体" w:eastAsia="宋体"/>
                <w:sz w:val="18"/>
              </w:rPr>
              <w:t>个人金融信息保护技术规范</w:t>
            </w:r>
          </w:p>
        </w:tc>
        <w:tc>
          <w:tcPr>
            <w:tcW w:w="425" w:type="pct"/>
            <w:vAlign w:val="center"/>
          </w:tcPr>
          <w:p w14:paraId="00DDCDD4">
            <w:pPr>
              <w:spacing w:after="0" w:line="240" w:lineRule="auto"/>
              <w:jc w:val="center"/>
            </w:pPr>
            <w:r>
              <w:rPr>
                <w:rFonts w:ascii="宋体" w:hAnsi="宋体" w:eastAsia="宋体"/>
                <w:sz w:val="18"/>
              </w:rPr>
              <w:t>是</w:t>
            </w:r>
          </w:p>
        </w:tc>
        <w:tc>
          <w:tcPr>
            <w:tcW w:w="1415" w:type="pct"/>
            <w:vAlign w:val="center"/>
          </w:tcPr>
          <w:p w14:paraId="2409A708">
            <w:pPr>
              <w:spacing w:after="0" w:line="240" w:lineRule="auto"/>
            </w:pPr>
          </w:p>
        </w:tc>
        <w:tc>
          <w:tcPr>
            <w:tcW w:w="968" w:type="pct"/>
            <w:vAlign w:val="center"/>
          </w:tcPr>
          <w:p w14:paraId="36052002">
            <w:pPr>
              <w:spacing w:after="0" w:line="240" w:lineRule="auto"/>
              <w:jc w:val="left"/>
            </w:pPr>
          </w:p>
        </w:tc>
      </w:tr>
    </w:tbl>
    <w:p w14:paraId="6208BD52">
      <w:pPr>
        <w:spacing w:after="0" w:line="240" w:lineRule="auto"/>
        <w:jc w:val="left"/>
        <w:rPr>
          <w:rFonts w:hint="eastAsia" w:ascii="仿宋" w:hAnsi="仿宋" w:eastAsia="仿宋" w:cs="仿宋"/>
          <w:sz w:val="32"/>
          <w:szCs w:val="32"/>
        </w:rPr>
      </w:pPr>
      <w:bookmarkStart w:id="0" w:name="_GoBack"/>
      <w:bookmarkEnd w:id="0"/>
    </w:p>
    <w:sectPr>
      <w:pgSz w:w="15840" w:h="12240" w:orient="landscape"/>
      <w:pgMar w:top="1797" w:right="1440" w:bottom="1797"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D9E55FD"/>
    <w:rsid w:val="17402E38"/>
    <w:rsid w:val="51CD1E1F"/>
    <w:rsid w:val="56F73FDE"/>
    <w:rsid w:val="6127154E"/>
    <w:rsid w:val="7F48568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qFormat="1"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qFormat="1"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qFormat="1"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4</TotalTime>
  <ScaleCrop>false</ScaleCrop>
  <LinksUpToDate>false</LinksUpToDate>
  <CharactersWithSpaces>0</CharactersWithSpaces>
  <Application>WPS Office_12.8.2.21549_F1E327BC-269C-435d-A152-05C5408002CA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星夏</cp:lastModifiedBy>
  <dcterms:modified xsi:type="dcterms:W3CDTF">2026-09-02T03:47:55Z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2052-12.8.2.21549</vt:lpwstr>
  </property>
  <property fmtid="{D5CDD505-2E9C-101B-9397-08002B2CF9AE}" pid="3" name="ICV">
    <vt:lpwstr>56F4224275244923A0291B03B6E12F0A_12</vt:lpwstr>
  </property>
</Properties>
</file>